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954" w:type="dxa"/>
        <w:tblInd w:w="3856" w:type="dxa"/>
        <w:tblLayout w:type="fixed"/>
        <w:tblCellMar>
          <w:left w:w="28" w:type="dxa"/>
          <w:right w:w="28" w:type="dxa"/>
        </w:tblCellMar>
        <w:tblLook w:val="0000" w:firstRow="0" w:lastRow="0" w:firstColumn="0" w:lastColumn="0" w:noHBand="0" w:noVBand="0"/>
      </w:tblPr>
      <w:tblGrid>
        <w:gridCol w:w="2835"/>
        <w:gridCol w:w="425"/>
        <w:gridCol w:w="142"/>
        <w:gridCol w:w="1559"/>
        <w:gridCol w:w="425"/>
        <w:gridCol w:w="283"/>
        <w:gridCol w:w="285"/>
      </w:tblGrid>
      <w:tr w:rsidR="00B97F78" w:rsidRPr="007A2034" w14:paraId="724B59BF" w14:textId="77777777" w:rsidTr="00A956D6">
        <w:tc>
          <w:tcPr>
            <w:tcW w:w="2835" w:type="dxa"/>
            <w:vAlign w:val="bottom"/>
          </w:tcPr>
          <w:p w14:paraId="47C1A8E0" w14:textId="61681B79" w:rsidR="00B97F78" w:rsidRPr="007A2034" w:rsidRDefault="00762460" w:rsidP="0032150A">
            <w:pPr>
              <w:spacing w:after="0" w:line="240" w:lineRule="auto"/>
              <w:rPr>
                <w:rFonts w:ascii="Times New Roman" w:hAnsi="Times New Roman"/>
                <w:color w:val="000000" w:themeColor="text1"/>
                <w:sz w:val="18"/>
                <w:szCs w:val="18"/>
              </w:rPr>
            </w:pPr>
            <w:bookmarkStart w:id="0" w:name="_GoBack"/>
            <w:bookmarkEnd w:id="0"/>
            <w:r w:rsidRPr="007A2034">
              <w:rPr>
                <w:rFonts w:ascii="Times New Roman" w:eastAsia="Times New Roman" w:hAnsi="Times New Roman"/>
                <w:color w:val="000000"/>
                <w:sz w:val="18"/>
                <w:szCs w:val="18"/>
              </w:rPr>
              <w:t>Зарегистрировано</w:t>
            </w:r>
          </w:p>
        </w:tc>
        <w:tc>
          <w:tcPr>
            <w:tcW w:w="425" w:type="dxa"/>
            <w:tcBorders>
              <w:bottom w:val="single" w:sz="4" w:space="0" w:color="auto"/>
            </w:tcBorders>
            <w:vAlign w:val="bottom"/>
          </w:tcPr>
          <w:p w14:paraId="6B787D07" w14:textId="6CD4470E" w:rsidR="00B97F78" w:rsidRPr="007A2034" w:rsidRDefault="002359BA" w:rsidP="00C13697">
            <w:pPr>
              <w:autoSpaceDE w:val="0"/>
              <w:autoSpaceDN w:val="0"/>
              <w:spacing w:after="0" w:line="240" w:lineRule="auto"/>
              <w:jc w:val="center"/>
              <w:rPr>
                <w:rFonts w:ascii="Times New Roman" w:hAnsi="Times New Roman"/>
                <w:b/>
                <w:color w:val="000000" w:themeColor="text1"/>
                <w:sz w:val="18"/>
                <w:szCs w:val="18"/>
                <w:lang w:val="en-US"/>
              </w:rPr>
            </w:pPr>
            <w:r>
              <w:rPr>
                <w:rFonts w:ascii="Times New Roman" w:hAnsi="Times New Roman"/>
                <w:b/>
                <w:color w:val="000000" w:themeColor="text1"/>
                <w:sz w:val="18"/>
                <w:szCs w:val="18"/>
                <w:lang w:val="en-US"/>
              </w:rPr>
              <w:t>29</w:t>
            </w:r>
          </w:p>
        </w:tc>
        <w:tc>
          <w:tcPr>
            <w:tcW w:w="142" w:type="dxa"/>
            <w:vAlign w:val="bottom"/>
          </w:tcPr>
          <w:p w14:paraId="086165B7" w14:textId="77777777" w:rsidR="00B97F78" w:rsidRPr="007A2034" w:rsidRDefault="00B97F78" w:rsidP="00C13697">
            <w:pPr>
              <w:autoSpaceDE w:val="0"/>
              <w:autoSpaceDN w:val="0"/>
              <w:spacing w:after="0" w:line="240" w:lineRule="auto"/>
              <w:rPr>
                <w:rFonts w:ascii="Times New Roman" w:hAnsi="Times New Roman"/>
                <w:b/>
                <w:color w:val="000000" w:themeColor="text1"/>
                <w:sz w:val="18"/>
                <w:szCs w:val="18"/>
              </w:rPr>
            </w:pPr>
          </w:p>
        </w:tc>
        <w:tc>
          <w:tcPr>
            <w:tcW w:w="1559" w:type="dxa"/>
            <w:tcBorders>
              <w:bottom w:val="single" w:sz="4" w:space="0" w:color="auto"/>
            </w:tcBorders>
            <w:vAlign w:val="bottom"/>
          </w:tcPr>
          <w:p w14:paraId="1B87CDD0" w14:textId="19C97896" w:rsidR="00B97F78" w:rsidRPr="007A2034" w:rsidRDefault="002359BA" w:rsidP="00C13697">
            <w:pPr>
              <w:autoSpaceDE w:val="0"/>
              <w:autoSpaceDN w:val="0"/>
              <w:spacing w:after="0" w:line="240" w:lineRule="auto"/>
              <w:jc w:val="center"/>
              <w:rPr>
                <w:rFonts w:ascii="Times New Roman" w:hAnsi="Times New Roman"/>
                <w:b/>
                <w:color w:val="000000" w:themeColor="text1"/>
                <w:sz w:val="18"/>
                <w:szCs w:val="18"/>
                <w:lang w:val="en-US"/>
              </w:rPr>
            </w:pPr>
            <w:r>
              <w:rPr>
                <w:rFonts w:ascii="Times New Roman" w:hAnsi="Times New Roman"/>
                <w:b/>
                <w:color w:val="000000" w:themeColor="text1"/>
                <w:sz w:val="18"/>
                <w:szCs w:val="18"/>
                <w:lang w:val="en-US"/>
              </w:rPr>
              <w:t>ноября</w:t>
            </w:r>
          </w:p>
        </w:tc>
        <w:tc>
          <w:tcPr>
            <w:tcW w:w="425" w:type="dxa"/>
            <w:vAlign w:val="bottom"/>
          </w:tcPr>
          <w:p w14:paraId="43EF5E1C" w14:textId="77777777" w:rsidR="00B97F78" w:rsidRPr="007A2034" w:rsidRDefault="00B97F78" w:rsidP="00C13697">
            <w:pPr>
              <w:autoSpaceDE w:val="0"/>
              <w:autoSpaceDN w:val="0"/>
              <w:spacing w:after="0" w:line="240" w:lineRule="auto"/>
              <w:jc w:val="right"/>
              <w:rPr>
                <w:rFonts w:ascii="Times New Roman" w:hAnsi="Times New Roman"/>
                <w:b/>
                <w:color w:val="000000" w:themeColor="text1"/>
                <w:sz w:val="18"/>
                <w:szCs w:val="18"/>
                <w:lang w:val="en-US"/>
              </w:rPr>
            </w:pPr>
            <w:r w:rsidRPr="007A2034">
              <w:rPr>
                <w:rFonts w:ascii="Times New Roman" w:hAnsi="Times New Roman"/>
                <w:b/>
                <w:color w:val="000000" w:themeColor="text1"/>
                <w:sz w:val="18"/>
                <w:szCs w:val="18"/>
                <w:lang w:val="en-US"/>
              </w:rPr>
              <w:t>20</w:t>
            </w:r>
          </w:p>
        </w:tc>
        <w:tc>
          <w:tcPr>
            <w:tcW w:w="283" w:type="dxa"/>
            <w:tcBorders>
              <w:bottom w:val="single" w:sz="4" w:space="0" w:color="auto"/>
            </w:tcBorders>
            <w:vAlign w:val="bottom"/>
          </w:tcPr>
          <w:p w14:paraId="50FA1ED4" w14:textId="49DB6495" w:rsidR="00B97F78" w:rsidRPr="007A2034" w:rsidRDefault="00DD4F72" w:rsidP="00C13697">
            <w:pPr>
              <w:autoSpaceDE w:val="0"/>
              <w:autoSpaceDN w:val="0"/>
              <w:spacing w:after="0" w:line="240" w:lineRule="auto"/>
              <w:rPr>
                <w:rFonts w:ascii="Times New Roman" w:hAnsi="Times New Roman"/>
                <w:b/>
                <w:color w:val="000000" w:themeColor="text1"/>
                <w:sz w:val="18"/>
                <w:szCs w:val="18"/>
              </w:rPr>
            </w:pPr>
            <w:r w:rsidRPr="007A2034">
              <w:rPr>
                <w:rFonts w:ascii="Times New Roman" w:hAnsi="Times New Roman"/>
                <w:b/>
                <w:color w:val="000000" w:themeColor="text1"/>
                <w:sz w:val="18"/>
                <w:szCs w:val="18"/>
                <w:lang w:val="en-US"/>
              </w:rPr>
              <w:t>21</w:t>
            </w:r>
          </w:p>
        </w:tc>
        <w:tc>
          <w:tcPr>
            <w:tcW w:w="285" w:type="dxa"/>
            <w:vAlign w:val="bottom"/>
          </w:tcPr>
          <w:p w14:paraId="267D8FDF" w14:textId="77777777" w:rsidR="00B97F78" w:rsidRPr="007A2034" w:rsidRDefault="00B97F78" w:rsidP="00C13697">
            <w:pPr>
              <w:autoSpaceDE w:val="0"/>
              <w:autoSpaceDN w:val="0"/>
              <w:spacing w:after="0" w:line="240" w:lineRule="auto"/>
              <w:rPr>
                <w:rFonts w:ascii="Times New Roman" w:hAnsi="Times New Roman"/>
                <w:b/>
                <w:color w:val="000000" w:themeColor="text1"/>
                <w:sz w:val="18"/>
                <w:szCs w:val="18"/>
              </w:rPr>
            </w:pPr>
          </w:p>
          <w:p w14:paraId="3A052438" w14:textId="77777777" w:rsidR="00B97F78" w:rsidRPr="007A2034" w:rsidRDefault="00B97F78" w:rsidP="00C13697">
            <w:pPr>
              <w:autoSpaceDE w:val="0"/>
              <w:autoSpaceDN w:val="0"/>
              <w:spacing w:after="0" w:line="240" w:lineRule="auto"/>
              <w:rPr>
                <w:rFonts w:ascii="Times New Roman" w:hAnsi="Times New Roman"/>
                <w:b/>
                <w:color w:val="000000" w:themeColor="text1"/>
                <w:sz w:val="18"/>
                <w:szCs w:val="18"/>
              </w:rPr>
            </w:pPr>
            <w:r w:rsidRPr="007A2034">
              <w:rPr>
                <w:rFonts w:ascii="Times New Roman" w:hAnsi="Times New Roman"/>
                <w:b/>
                <w:color w:val="000000" w:themeColor="text1"/>
                <w:sz w:val="18"/>
                <w:szCs w:val="18"/>
              </w:rPr>
              <w:t>г.</w:t>
            </w:r>
          </w:p>
        </w:tc>
      </w:tr>
    </w:tbl>
    <w:p w14:paraId="5F016B0A" w14:textId="77777777" w:rsidR="00631A9B" w:rsidRPr="007A2034" w:rsidRDefault="00631A9B" w:rsidP="00B97F78">
      <w:pPr>
        <w:autoSpaceDE w:val="0"/>
        <w:autoSpaceDN w:val="0"/>
        <w:spacing w:after="0" w:line="240" w:lineRule="auto"/>
        <w:ind w:left="3828"/>
        <w:jc w:val="center"/>
        <w:rPr>
          <w:rFonts w:ascii="Times New Roman" w:hAnsi="Times New Roman"/>
          <w:color w:val="000000"/>
          <w:sz w:val="18"/>
          <w:szCs w:val="18"/>
          <w:lang w:val="en-US"/>
        </w:rPr>
      </w:pPr>
    </w:p>
    <w:p w14:paraId="4FBEF9AF" w14:textId="51C9217D" w:rsidR="00B97F78" w:rsidRPr="007A2034" w:rsidRDefault="00762460" w:rsidP="00B97F78">
      <w:pPr>
        <w:autoSpaceDE w:val="0"/>
        <w:autoSpaceDN w:val="0"/>
        <w:spacing w:after="0" w:line="240" w:lineRule="auto"/>
        <w:ind w:left="3828"/>
        <w:jc w:val="center"/>
        <w:rPr>
          <w:rFonts w:ascii="Times New Roman" w:hAnsi="Times New Roman"/>
          <w:color w:val="000000" w:themeColor="text1"/>
          <w:sz w:val="18"/>
          <w:szCs w:val="18"/>
        </w:rPr>
      </w:pPr>
      <w:r w:rsidRPr="007A2034">
        <w:rPr>
          <w:rFonts w:ascii="Times New Roman" w:hAnsi="Times New Roman"/>
          <w:color w:val="000000"/>
          <w:sz w:val="18"/>
          <w:szCs w:val="18"/>
        </w:rPr>
        <w:t>Регистрационный</w:t>
      </w:r>
      <w:r w:rsidR="00B97F78" w:rsidRPr="007A2034">
        <w:rPr>
          <w:rFonts w:ascii="Times New Roman" w:hAnsi="Times New Roman"/>
          <w:color w:val="000000" w:themeColor="text1"/>
          <w:sz w:val="18"/>
          <w:szCs w:val="18"/>
        </w:rPr>
        <w:t xml:space="preserve"> номер</w:t>
      </w:r>
      <w:r w:rsidR="00631A9B" w:rsidRPr="007A2034">
        <w:rPr>
          <w:rFonts w:ascii="Times New Roman" w:hAnsi="Times New Roman"/>
          <w:color w:val="000000" w:themeColor="text1"/>
          <w:sz w:val="18"/>
          <w:szCs w:val="18"/>
        </w:rPr>
        <w:t xml:space="preserve"> выпуска ценных бумаг</w:t>
      </w:r>
    </w:p>
    <w:tbl>
      <w:tblPr>
        <w:tblW w:w="6169" w:type="dxa"/>
        <w:tblInd w:w="3997" w:type="dxa"/>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06"/>
        <w:gridCol w:w="283"/>
        <w:gridCol w:w="283"/>
        <w:gridCol w:w="283"/>
        <w:gridCol w:w="283"/>
        <w:gridCol w:w="283"/>
        <w:gridCol w:w="283"/>
        <w:gridCol w:w="283"/>
        <w:gridCol w:w="283"/>
        <w:gridCol w:w="283"/>
        <w:gridCol w:w="283"/>
        <w:gridCol w:w="283"/>
        <w:gridCol w:w="283"/>
        <w:gridCol w:w="283"/>
      </w:tblGrid>
      <w:tr w:rsidR="00DD4F72" w:rsidRPr="007A2034" w14:paraId="4BF143D5" w14:textId="71EEEDD4" w:rsidTr="00DD4F72">
        <w:trPr>
          <w:trHeight w:hRule="exact" w:val="306"/>
        </w:trPr>
        <w:tc>
          <w:tcPr>
            <w:tcW w:w="312" w:type="dxa"/>
            <w:tcBorders>
              <w:top w:val="single" w:sz="4" w:space="0" w:color="auto"/>
              <w:left w:val="single" w:sz="4" w:space="0" w:color="auto"/>
              <w:bottom w:val="single" w:sz="4" w:space="0" w:color="auto"/>
            </w:tcBorders>
            <w:vAlign w:val="center"/>
          </w:tcPr>
          <w:p w14:paraId="6C7D8DCE" w14:textId="2BC2867A" w:rsidR="00DD4F72" w:rsidRPr="007A2034" w:rsidRDefault="00DD4F72" w:rsidP="00DD4F72">
            <w:pPr>
              <w:autoSpaceDE w:val="0"/>
              <w:autoSpaceDN w:val="0"/>
              <w:spacing w:after="0" w:line="240" w:lineRule="auto"/>
              <w:ind w:left="-28" w:firstLine="28"/>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4</w:t>
            </w:r>
          </w:p>
        </w:tc>
        <w:tc>
          <w:tcPr>
            <w:tcW w:w="312" w:type="dxa"/>
            <w:tcBorders>
              <w:top w:val="single" w:sz="4" w:space="0" w:color="auto"/>
              <w:left w:val="single" w:sz="4" w:space="0" w:color="auto"/>
              <w:bottom w:val="single" w:sz="4" w:space="0" w:color="auto"/>
              <w:right w:val="single" w:sz="4" w:space="0" w:color="auto"/>
            </w:tcBorders>
            <w:vAlign w:val="center"/>
          </w:tcPr>
          <w:p w14:paraId="27B612DF" w14:textId="60ADCD03"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B</w:t>
            </w:r>
          </w:p>
        </w:tc>
        <w:tc>
          <w:tcPr>
            <w:tcW w:w="312" w:type="dxa"/>
            <w:tcBorders>
              <w:top w:val="single" w:sz="4" w:space="0" w:color="auto"/>
              <w:bottom w:val="single" w:sz="4" w:space="0" w:color="auto"/>
            </w:tcBorders>
            <w:vAlign w:val="center"/>
          </w:tcPr>
          <w:p w14:paraId="0EFEB262" w14:textId="069ECC00"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312" w:type="dxa"/>
            <w:tcBorders>
              <w:top w:val="single" w:sz="4" w:space="0" w:color="auto"/>
              <w:left w:val="single" w:sz="4" w:space="0" w:color="auto"/>
              <w:bottom w:val="single" w:sz="4" w:space="0" w:color="auto"/>
              <w:right w:val="single" w:sz="4" w:space="0" w:color="auto"/>
            </w:tcBorders>
            <w:vAlign w:val="center"/>
          </w:tcPr>
          <w:p w14:paraId="5C0E0402" w14:textId="1504E2A9"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2</w:t>
            </w:r>
          </w:p>
        </w:tc>
        <w:tc>
          <w:tcPr>
            <w:tcW w:w="312" w:type="dxa"/>
            <w:tcBorders>
              <w:top w:val="single" w:sz="4" w:space="0" w:color="auto"/>
              <w:left w:val="single" w:sz="4" w:space="0" w:color="auto"/>
              <w:bottom w:val="single" w:sz="4" w:space="0" w:color="auto"/>
              <w:right w:val="single" w:sz="4" w:space="0" w:color="auto"/>
            </w:tcBorders>
            <w:vAlign w:val="center"/>
          </w:tcPr>
          <w:p w14:paraId="20BCB997" w14:textId="77782BE2"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w:t>
            </w:r>
          </w:p>
        </w:tc>
        <w:tc>
          <w:tcPr>
            <w:tcW w:w="312" w:type="dxa"/>
            <w:tcBorders>
              <w:top w:val="single" w:sz="4" w:space="0" w:color="auto"/>
              <w:bottom w:val="single" w:sz="4" w:space="0" w:color="auto"/>
              <w:right w:val="single" w:sz="4" w:space="0" w:color="auto"/>
            </w:tcBorders>
            <w:vAlign w:val="center"/>
          </w:tcPr>
          <w:p w14:paraId="37D89CC7" w14:textId="0C033D29"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lang w:val="en-US"/>
              </w:rPr>
            </w:pPr>
            <w:r w:rsidRPr="007A2034">
              <w:rPr>
                <w:rFonts w:ascii="Times New Roman" w:hAnsi="Times New Roman"/>
                <w:color w:val="000000" w:themeColor="text1"/>
                <w:sz w:val="24"/>
                <w:szCs w:val="24"/>
                <w:lang w:val="en-US"/>
              </w:rPr>
              <w:t>2</w:t>
            </w:r>
          </w:p>
        </w:tc>
        <w:tc>
          <w:tcPr>
            <w:tcW w:w="312" w:type="dxa"/>
            <w:tcBorders>
              <w:top w:val="single" w:sz="4" w:space="0" w:color="auto"/>
              <w:left w:val="single" w:sz="4" w:space="0" w:color="auto"/>
              <w:bottom w:val="single" w:sz="4" w:space="0" w:color="auto"/>
            </w:tcBorders>
            <w:vAlign w:val="center"/>
          </w:tcPr>
          <w:p w14:paraId="032888D0" w14:textId="23055D51" w:rsidR="00DD4F72" w:rsidRPr="007A2034" w:rsidRDefault="007A40FB" w:rsidP="00DD4F72">
            <w:pPr>
              <w:autoSpaceDE w:val="0"/>
              <w:autoSpaceDN w:val="0"/>
              <w:spacing w:after="0" w:line="240" w:lineRule="auto"/>
              <w:jc w:val="center"/>
              <w:rPr>
                <w:rFonts w:ascii="Times New Roman" w:hAnsi="Times New Roman"/>
                <w:color w:val="000000" w:themeColor="text1"/>
                <w:sz w:val="24"/>
                <w:szCs w:val="24"/>
                <w:lang w:val="en-US"/>
              </w:rPr>
            </w:pPr>
            <w:r w:rsidRPr="007A2034">
              <w:rPr>
                <w:rFonts w:ascii="Times New Roman" w:hAnsi="Times New Roman"/>
                <w:color w:val="000000" w:themeColor="text1"/>
                <w:sz w:val="24"/>
                <w:szCs w:val="24"/>
                <w:lang w:val="en-US"/>
              </w:rPr>
              <w:t>8</w:t>
            </w:r>
          </w:p>
        </w:tc>
        <w:tc>
          <w:tcPr>
            <w:tcW w:w="306" w:type="dxa"/>
            <w:tcBorders>
              <w:top w:val="single" w:sz="4" w:space="0" w:color="auto"/>
              <w:left w:val="single" w:sz="4" w:space="0" w:color="auto"/>
              <w:bottom w:val="single" w:sz="4" w:space="0" w:color="auto"/>
              <w:right w:val="single" w:sz="4" w:space="0" w:color="auto"/>
            </w:tcBorders>
            <w:vAlign w:val="center"/>
          </w:tcPr>
          <w:p w14:paraId="45153475" w14:textId="1FD9B46F" w:rsidR="00DD4F72" w:rsidRPr="007A2034" w:rsidRDefault="007A40FB" w:rsidP="00DD4F72">
            <w:pPr>
              <w:autoSpaceDE w:val="0"/>
              <w:autoSpaceDN w:val="0"/>
              <w:spacing w:after="0" w:line="240" w:lineRule="auto"/>
              <w:jc w:val="center"/>
              <w:rPr>
                <w:rFonts w:ascii="Times New Roman" w:hAnsi="Times New Roman"/>
                <w:color w:val="000000" w:themeColor="text1"/>
                <w:sz w:val="24"/>
                <w:szCs w:val="24"/>
                <w:lang w:val="en-US"/>
              </w:rPr>
            </w:pPr>
            <w:r w:rsidRPr="007A2034">
              <w:rPr>
                <w:rFonts w:ascii="Times New Roman" w:hAnsi="Times New Roman"/>
                <w:color w:val="000000" w:themeColor="text1"/>
                <w:sz w:val="24"/>
                <w:szCs w:val="24"/>
                <w:lang w:val="en-US"/>
              </w:rPr>
              <w:t>5</w:t>
            </w:r>
          </w:p>
        </w:tc>
        <w:tc>
          <w:tcPr>
            <w:tcW w:w="283" w:type="dxa"/>
            <w:tcBorders>
              <w:top w:val="single" w:sz="4" w:space="0" w:color="auto"/>
              <w:left w:val="single" w:sz="4" w:space="0" w:color="auto"/>
              <w:bottom w:val="single" w:sz="4" w:space="0" w:color="auto"/>
              <w:right w:val="single" w:sz="4" w:space="0" w:color="auto"/>
            </w:tcBorders>
            <w:vAlign w:val="center"/>
          </w:tcPr>
          <w:p w14:paraId="598A3C61" w14:textId="75D605A1"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w:t>
            </w:r>
          </w:p>
        </w:tc>
        <w:tc>
          <w:tcPr>
            <w:tcW w:w="283" w:type="dxa"/>
            <w:tcBorders>
              <w:top w:val="single" w:sz="4" w:space="0" w:color="auto"/>
              <w:left w:val="single" w:sz="4" w:space="0" w:color="auto"/>
              <w:bottom w:val="single" w:sz="4" w:space="0" w:color="auto"/>
              <w:right w:val="single" w:sz="4" w:space="0" w:color="auto"/>
            </w:tcBorders>
            <w:vAlign w:val="center"/>
          </w:tcPr>
          <w:p w14:paraId="273B37D9" w14:textId="2EA2F2E4"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283" w:type="dxa"/>
            <w:tcBorders>
              <w:top w:val="single" w:sz="4" w:space="0" w:color="auto"/>
              <w:left w:val="single" w:sz="4" w:space="0" w:color="auto"/>
              <w:bottom w:val="single" w:sz="4" w:space="0" w:color="auto"/>
              <w:right w:val="single" w:sz="4" w:space="0" w:color="auto"/>
            </w:tcBorders>
            <w:vAlign w:val="center"/>
          </w:tcPr>
          <w:p w14:paraId="25DA34CF" w14:textId="3C4CE2FB"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1</w:t>
            </w:r>
          </w:p>
        </w:tc>
        <w:tc>
          <w:tcPr>
            <w:tcW w:w="283" w:type="dxa"/>
            <w:tcBorders>
              <w:top w:val="single" w:sz="4" w:space="0" w:color="auto"/>
              <w:left w:val="single" w:sz="4" w:space="0" w:color="auto"/>
              <w:bottom w:val="single" w:sz="4" w:space="0" w:color="auto"/>
              <w:right w:val="single" w:sz="4" w:space="0" w:color="auto"/>
            </w:tcBorders>
            <w:vAlign w:val="center"/>
          </w:tcPr>
          <w:p w14:paraId="3F28ACC9" w14:textId="6CAC7BF7"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283" w:type="dxa"/>
            <w:tcBorders>
              <w:top w:val="single" w:sz="4" w:space="0" w:color="auto"/>
              <w:left w:val="single" w:sz="4" w:space="0" w:color="auto"/>
              <w:bottom w:val="single" w:sz="4" w:space="0" w:color="auto"/>
              <w:right w:val="single" w:sz="4" w:space="0" w:color="auto"/>
            </w:tcBorders>
            <w:vAlign w:val="center"/>
          </w:tcPr>
          <w:p w14:paraId="16796EB8" w14:textId="301CA932"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283" w:type="dxa"/>
            <w:tcBorders>
              <w:top w:val="single" w:sz="4" w:space="0" w:color="auto"/>
              <w:left w:val="single" w:sz="4" w:space="0" w:color="auto"/>
              <w:bottom w:val="single" w:sz="4" w:space="0" w:color="auto"/>
              <w:right w:val="single" w:sz="4" w:space="0" w:color="auto"/>
            </w:tcBorders>
            <w:vAlign w:val="center"/>
          </w:tcPr>
          <w:p w14:paraId="4B993833" w14:textId="56939D62"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283" w:type="dxa"/>
            <w:tcBorders>
              <w:top w:val="single" w:sz="4" w:space="0" w:color="auto"/>
              <w:left w:val="single" w:sz="4" w:space="0" w:color="auto"/>
              <w:bottom w:val="single" w:sz="4" w:space="0" w:color="auto"/>
              <w:right w:val="single" w:sz="4" w:space="0" w:color="auto"/>
            </w:tcBorders>
            <w:vAlign w:val="center"/>
          </w:tcPr>
          <w:p w14:paraId="500DCE93" w14:textId="7809979C"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w:t>
            </w:r>
          </w:p>
        </w:tc>
        <w:tc>
          <w:tcPr>
            <w:tcW w:w="283" w:type="dxa"/>
            <w:tcBorders>
              <w:top w:val="single" w:sz="4" w:space="0" w:color="auto"/>
              <w:left w:val="single" w:sz="4" w:space="0" w:color="auto"/>
              <w:bottom w:val="single" w:sz="4" w:space="0" w:color="auto"/>
              <w:right w:val="single" w:sz="4" w:space="0" w:color="auto"/>
            </w:tcBorders>
            <w:vAlign w:val="center"/>
          </w:tcPr>
          <w:p w14:paraId="3CBAB345" w14:textId="230A21CD"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B</w:t>
            </w:r>
          </w:p>
        </w:tc>
        <w:tc>
          <w:tcPr>
            <w:tcW w:w="283" w:type="dxa"/>
            <w:tcBorders>
              <w:top w:val="single" w:sz="4" w:space="0" w:color="auto"/>
              <w:left w:val="single" w:sz="4" w:space="0" w:color="auto"/>
              <w:bottom w:val="single" w:sz="4" w:space="0" w:color="auto"/>
              <w:right w:val="single" w:sz="4" w:space="0" w:color="auto"/>
            </w:tcBorders>
            <w:vAlign w:val="center"/>
          </w:tcPr>
          <w:p w14:paraId="617C3E0C" w14:textId="56BF7F20"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w:t>
            </w:r>
          </w:p>
        </w:tc>
        <w:tc>
          <w:tcPr>
            <w:tcW w:w="283" w:type="dxa"/>
            <w:tcBorders>
              <w:top w:val="single" w:sz="4" w:space="0" w:color="auto"/>
              <w:left w:val="single" w:sz="4" w:space="0" w:color="auto"/>
              <w:bottom w:val="single" w:sz="4" w:space="0" w:color="auto"/>
              <w:right w:val="single" w:sz="4" w:space="0" w:color="auto"/>
            </w:tcBorders>
            <w:vAlign w:val="center"/>
          </w:tcPr>
          <w:p w14:paraId="76654658" w14:textId="0B7CDDAC" w:rsidR="00DD4F72" w:rsidRPr="007A2034" w:rsidRDefault="00DD4F72" w:rsidP="00DD4F72">
            <w:pPr>
              <w:autoSpaceDE w:val="0"/>
              <w:autoSpaceDN w:val="0"/>
              <w:spacing w:after="0" w:line="240" w:lineRule="auto"/>
              <w:ind w:left="-28" w:firstLine="28"/>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283" w:type="dxa"/>
            <w:tcBorders>
              <w:top w:val="single" w:sz="4" w:space="0" w:color="auto"/>
              <w:left w:val="single" w:sz="4" w:space="0" w:color="auto"/>
              <w:bottom w:val="single" w:sz="4" w:space="0" w:color="auto"/>
              <w:right w:val="single" w:sz="4" w:space="0" w:color="auto"/>
            </w:tcBorders>
            <w:vAlign w:val="center"/>
          </w:tcPr>
          <w:p w14:paraId="2648A511" w14:textId="5050CA4D"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0</w:t>
            </w:r>
          </w:p>
        </w:tc>
        <w:tc>
          <w:tcPr>
            <w:tcW w:w="283" w:type="dxa"/>
            <w:tcBorders>
              <w:top w:val="single" w:sz="4" w:space="0" w:color="auto"/>
              <w:left w:val="single" w:sz="4" w:space="0" w:color="auto"/>
              <w:bottom w:val="single" w:sz="4" w:space="0" w:color="auto"/>
              <w:right w:val="single" w:sz="4" w:space="0" w:color="auto"/>
            </w:tcBorders>
            <w:vAlign w:val="center"/>
          </w:tcPr>
          <w:p w14:paraId="7626E290" w14:textId="466DDC5D"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1</w:t>
            </w:r>
          </w:p>
        </w:tc>
        <w:tc>
          <w:tcPr>
            <w:tcW w:w="283" w:type="dxa"/>
            <w:tcBorders>
              <w:top w:val="single" w:sz="4" w:space="0" w:color="auto"/>
              <w:left w:val="single" w:sz="4" w:space="0" w:color="auto"/>
              <w:bottom w:val="single" w:sz="4" w:space="0" w:color="auto"/>
              <w:right w:val="single" w:sz="4" w:space="0" w:color="auto"/>
            </w:tcBorders>
            <w:vAlign w:val="center"/>
          </w:tcPr>
          <w:p w14:paraId="4CCE9497" w14:textId="7FABC74E" w:rsidR="00DD4F72" w:rsidRPr="007A2034" w:rsidRDefault="00DD4F72" w:rsidP="00DD4F72">
            <w:pPr>
              <w:autoSpaceDE w:val="0"/>
              <w:autoSpaceDN w:val="0"/>
              <w:spacing w:after="0" w:line="240" w:lineRule="auto"/>
              <w:jc w:val="center"/>
              <w:rPr>
                <w:rFonts w:ascii="Times New Roman" w:hAnsi="Times New Roman"/>
                <w:color w:val="000000" w:themeColor="text1"/>
                <w:sz w:val="24"/>
                <w:szCs w:val="24"/>
              </w:rPr>
            </w:pPr>
            <w:r w:rsidRPr="007A2034">
              <w:rPr>
                <w:rFonts w:ascii="Times New Roman" w:hAnsi="Times New Roman"/>
                <w:color w:val="000000" w:themeColor="text1"/>
                <w:sz w:val="24"/>
                <w:szCs w:val="24"/>
                <w:lang w:val="en-US"/>
              </w:rPr>
              <w:t>P</w:t>
            </w:r>
          </w:p>
        </w:tc>
      </w:tr>
    </w:tbl>
    <w:p w14:paraId="547443EF" w14:textId="77777777" w:rsidR="00631A9B" w:rsidRPr="007A2034" w:rsidRDefault="00631A9B" w:rsidP="00B97F78">
      <w:pPr>
        <w:autoSpaceDE w:val="0"/>
        <w:autoSpaceDN w:val="0"/>
        <w:spacing w:after="0" w:line="240" w:lineRule="auto"/>
        <w:ind w:left="3828"/>
        <w:jc w:val="center"/>
        <w:rPr>
          <w:rFonts w:ascii="Times New Roman" w:hAnsi="Times New Roman"/>
          <w:b/>
          <w:bCs/>
          <w:color w:val="000000" w:themeColor="text1"/>
          <w:sz w:val="20"/>
          <w:szCs w:val="20"/>
        </w:rPr>
      </w:pPr>
    </w:p>
    <w:p w14:paraId="01C4273D" w14:textId="77777777" w:rsidR="00B97F78" w:rsidRPr="007A2034" w:rsidRDefault="00B97F78" w:rsidP="00B97F78">
      <w:pPr>
        <w:autoSpaceDE w:val="0"/>
        <w:autoSpaceDN w:val="0"/>
        <w:spacing w:after="0" w:line="240" w:lineRule="auto"/>
        <w:ind w:left="3828"/>
        <w:jc w:val="center"/>
        <w:rPr>
          <w:rFonts w:ascii="Times New Roman" w:hAnsi="Times New Roman"/>
          <w:b/>
          <w:color w:val="000000" w:themeColor="text1"/>
          <w:sz w:val="20"/>
          <w:szCs w:val="20"/>
        </w:rPr>
      </w:pPr>
      <w:r w:rsidRPr="007A2034">
        <w:rPr>
          <w:rFonts w:ascii="Times New Roman" w:hAnsi="Times New Roman"/>
          <w:b/>
          <w:bCs/>
          <w:color w:val="000000" w:themeColor="text1"/>
          <w:sz w:val="20"/>
          <w:szCs w:val="20"/>
        </w:rPr>
        <w:t>ПАО Московская Биржа</w:t>
      </w:r>
    </w:p>
    <w:p w14:paraId="1156E8F6" w14:textId="77777777" w:rsidR="00762460" w:rsidRPr="007A2034" w:rsidRDefault="00762460" w:rsidP="00762460">
      <w:pPr>
        <w:pBdr>
          <w:top w:val="single" w:sz="4" w:space="1" w:color="auto"/>
        </w:pBdr>
        <w:autoSpaceDE w:val="0"/>
        <w:autoSpaceDN w:val="0"/>
        <w:spacing w:after="0" w:line="240" w:lineRule="auto"/>
        <w:ind w:left="3828"/>
        <w:jc w:val="center"/>
        <w:rPr>
          <w:rFonts w:ascii="Times New Roman" w:hAnsi="Times New Roman"/>
          <w:color w:val="000000"/>
          <w:sz w:val="12"/>
          <w:szCs w:val="12"/>
        </w:rPr>
      </w:pPr>
      <w:r w:rsidRPr="007A2034">
        <w:rPr>
          <w:rFonts w:ascii="Times New Roman" w:hAnsi="Times New Roman"/>
          <w:color w:val="000000"/>
          <w:sz w:val="12"/>
          <w:szCs w:val="12"/>
        </w:rPr>
        <w:t>(наименование регистрирующей организации)</w:t>
      </w:r>
    </w:p>
    <w:p w14:paraId="79DADAC5" w14:textId="77777777" w:rsidR="00B97F78" w:rsidRPr="007A2034" w:rsidRDefault="00B97F78" w:rsidP="00B97F78">
      <w:pPr>
        <w:pBdr>
          <w:top w:val="single" w:sz="4" w:space="1" w:color="auto"/>
        </w:pBdr>
        <w:autoSpaceDE w:val="0"/>
        <w:autoSpaceDN w:val="0"/>
        <w:spacing w:after="0" w:line="240" w:lineRule="auto"/>
        <w:ind w:left="3828"/>
        <w:jc w:val="center"/>
        <w:rPr>
          <w:rFonts w:ascii="Times New Roman" w:hAnsi="Times New Roman"/>
          <w:color w:val="000000" w:themeColor="text1"/>
          <w:sz w:val="12"/>
          <w:szCs w:val="12"/>
        </w:rPr>
      </w:pPr>
    </w:p>
    <w:p w14:paraId="76E3A2F0" w14:textId="77777777" w:rsidR="00B97F78" w:rsidRPr="007A2034" w:rsidRDefault="00B97F78" w:rsidP="00B97F78">
      <w:pPr>
        <w:autoSpaceDE w:val="0"/>
        <w:autoSpaceDN w:val="0"/>
        <w:spacing w:after="0" w:line="240" w:lineRule="auto"/>
        <w:jc w:val="center"/>
        <w:rPr>
          <w:rFonts w:ascii="Times New Roman" w:hAnsi="Times New Roman"/>
          <w:color w:val="000000"/>
          <w:sz w:val="12"/>
          <w:szCs w:val="12"/>
          <w:lang w:val="en-US"/>
        </w:rPr>
      </w:pPr>
    </w:p>
    <w:p w14:paraId="2C16A4FC"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7BC41296"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2C0A09CB"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1826699F"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14AEA712"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0B4C1AC2"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01AB4751" w14:textId="77777777" w:rsidR="00631A9B" w:rsidRPr="007A2034" w:rsidRDefault="00631A9B" w:rsidP="00B97F78">
      <w:pPr>
        <w:autoSpaceDE w:val="0"/>
        <w:autoSpaceDN w:val="0"/>
        <w:spacing w:after="0" w:line="240" w:lineRule="auto"/>
        <w:jc w:val="center"/>
        <w:rPr>
          <w:rFonts w:ascii="Times New Roman" w:hAnsi="Times New Roman"/>
          <w:color w:val="000000"/>
          <w:sz w:val="12"/>
          <w:szCs w:val="12"/>
          <w:lang w:val="en-US"/>
        </w:rPr>
      </w:pPr>
    </w:p>
    <w:p w14:paraId="22DBA2CE" w14:textId="77777777" w:rsidR="00631A9B" w:rsidRPr="007A2034" w:rsidRDefault="00631A9B" w:rsidP="00B97F78">
      <w:pPr>
        <w:autoSpaceDE w:val="0"/>
        <w:autoSpaceDN w:val="0"/>
        <w:spacing w:after="0" w:line="240" w:lineRule="auto"/>
        <w:jc w:val="center"/>
        <w:rPr>
          <w:rFonts w:ascii="Times New Roman" w:hAnsi="Times New Roman"/>
          <w:b/>
          <w:bCs/>
          <w:color w:val="000000" w:themeColor="text1"/>
          <w:sz w:val="28"/>
          <w:szCs w:val="28"/>
          <w:lang w:val="en-US"/>
        </w:rPr>
      </w:pPr>
    </w:p>
    <w:p w14:paraId="5DEB6592" w14:textId="77777777" w:rsidR="00B61B61" w:rsidRPr="007A2034" w:rsidRDefault="00B61B61" w:rsidP="007C33C8">
      <w:pPr>
        <w:autoSpaceDE w:val="0"/>
        <w:autoSpaceDN w:val="0"/>
        <w:spacing w:after="0" w:line="240" w:lineRule="auto"/>
        <w:rPr>
          <w:rFonts w:ascii="Times New Roman" w:hAnsi="Times New Roman"/>
          <w:b/>
          <w:bCs/>
          <w:color w:val="000000" w:themeColor="text1"/>
          <w:sz w:val="28"/>
          <w:szCs w:val="28"/>
          <w:lang w:val="en-US"/>
        </w:rPr>
      </w:pPr>
    </w:p>
    <w:p w14:paraId="02A2D334" w14:textId="77777777" w:rsidR="00B61B61" w:rsidRPr="007A2034" w:rsidRDefault="00B61B61" w:rsidP="00B97F78">
      <w:pPr>
        <w:autoSpaceDE w:val="0"/>
        <w:autoSpaceDN w:val="0"/>
        <w:spacing w:after="0" w:line="240" w:lineRule="auto"/>
        <w:jc w:val="center"/>
        <w:rPr>
          <w:rFonts w:ascii="Times New Roman" w:hAnsi="Times New Roman"/>
          <w:b/>
          <w:bCs/>
          <w:color w:val="000000" w:themeColor="text1"/>
          <w:sz w:val="28"/>
          <w:szCs w:val="28"/>
          <w:lang w:val="en-US"/>
        </w:rPr>
      </w:pPr>
    </w:p>
    <w:p w14:paraId="3B8D339A" w14:textId="77777777" w:rsidR="00B61B61" w:rsidRPr="007A2034" w:rsidRDefault="00B61B61" w:rsidP="00B97F78">
      <w:pPr>
        <w:autoSpaceDE w:val="0"/>
        <w:autoSpaceDN w:val="0"/>
        <w:spacing w:after="0" w:line="240" w:lineRule="auto"/>
        <w:jc w:val="center"/>
        <w:rPr>
          <w:rFonts w:ascii="Times New Roman" w:hAnsi="Times New Roman"/>
          <w:b/>
          <w:bCs/>
          <w:color w:val="000000" w:themeColor="text1"/>
          <w:sz w:val="28"/>
          <w:szCs w:val="28"/>
          <w:lang w:val="en-US"/>
        </w:rPr>
      </w:pPr>
    </w:p>
    <w:p w14:paraId="33018040" w14:textId="77777777" w:rsidR="00B61B61" w:rsidRPr="007A2034" w:rsidRDefault="00B61B61" w:rsidP="00B97F78">
      <w:pPr>
        <w:autoSpaceDE w:val="0"/>
        <w:autoSpaceDN w:val="0"/>
        <w:spacing w:after="0" w:line="240" w:lineRule="auto"/>
        <w:jc w:val="center"/>
        <w:rPr>
          <w:rFonts w:ascii="Times New Roman" w:hAnsi="Times New Roman"/>
          <w:b/>
          <w:bCs/>
          <w:color w:val="000000" w:themeColor="text1"/>
          <w:sz w:val="28"/>
          <w:szCs w:val="28"/>
          <w:lang w:val="en-US"/>
        </w:rPr>
      </w:pPr>
    </w:p>
    <w:p w14:paraId="5B03BCA1" w14:textId="5B37AAB3" w:rsidR="00762460" w:rsidRPr="007A2034" w:rsidRDefault="00762460" w:rsidP="00DF6110">
      <w:pPr>
        <w:autoSpaceDE w:val="0"/>
        <w:autoSpaceDN w:val="0"/>
        <w:spacing w:after="0" w:line="240" w:lineRule="auto"/>
        <w:jc w:val="center"/>
        <w:rPr>
          <w:rFonts w:ascii="Times New Roman" w:hAnsi="Times New Roman"/>
          <w:b/>
          <w:bCs/>
          <w:color w:val="000000"/>
          <w:sz w:val="28"/>
          <w:szCs w:val="28"/>
        </w:rPr>
      </w:pPr>
      <w:r w:rsidRPr="007A2034">
        <w:rPr>
          <w:rFonts w:ascii="Times New Roman" w:hAnsi="Times New Roman"/>
          <w:b/>
          <w:bCs/>
          <w:color w:val="000000"/>
          <w:sz w:val="28"/>
          <w:szCs w:val="28"/>
        </w:rPr>
        <w:t>РЕШЕНИЕ О ВЫПУСКЕ</w:t>
      </w:r>
      <w:r w:rsidR="00DF6110" w:rsidRPr="007A2034">
        <w:rPr>
          <w:rFonts w:ascii="Times New Roman" w:hAnsi="Times New Roman"/>
          <w:b/>
          <w:bCs/>
          <w:color w:val="000000"/>
          <w:sz w:val="28"/>
          <w:szCs w:val="28"/>
        </w:rPr>
        <w:t xml:space="preserve"> </w:t>
      </w:r>
      <w:r w:rsidRPr="007A2034">
        <w:rPr>
          <w:rFonts w:ascii="Times New Roman" w:hAnsi="Times New Roman"/>
          <w:b/>
          <w:bCs/>
          <w:color w:val="000000"/>
          <w:sz w:val="28"/>
          <w:szCs w:val="28"/>
        </w:rPr>
        <w:t xml:space="preserve">ЦЕННЫХ БУМАГ </w:t>
      </w:r>
    </w:p>
    <w:p w14:paraId="1CDEAE9B" w14:textId="77777777" w:rsidR="00B97F78" w:rsidRPr="007A2034" w:rsidRDefault="00B97F78" w:rsidP="00B97F78">
      <w:pPr>
        <w:pBdr>
          <w:top w:val="single" w:sz="4" w:space="1" w:color="auto"/>
        </w:pBdr>
        <w:autoSpaceDE w:val="0"/>
        <w:autoSpaceDN w:val="0"/>
        <w:spacing w:after="0" w:line="240" w:lineRule="auto"/>
        <w:jc w:val="center"/>
        <w:rPr>
          <w:rFonts w:ascii="Times New Roman" w:hAnsi="Times New Roman"/>
          <w:color w:val="000000" w:themeColor="text1"/>
          <w:sz w:val="18"/>
          <w:szCs w:val="18"/>
        </w:rPr>
      </w:pPr>
    </w:p>
    <w:p w14:paraId="4916F20E" w14:textId="77777777" w:rsidR="00B61B61" w:rsidRPr="007A2034" w:rsidRDefault="00B61B61" w:rsidP="00B97F78">
      <w:pPr>
        <w:pBdr>
          <w:top w:val="single" w:sz="4" w:space="1" w:color="auto"/>
        </w:pBdr>
        <w:autoSpaceDE w:val="0"/>
        <w:autoSpaceDN w:val="0"/>
        <w:spacing w:after="0" w:line="240" w:lineRule="auto"/>
        <w:jc w:val="center"/>
        <w:rPr>
          <w:rFonts w:ascii="Times New Roman" w:hAnsi="Times New Roman"/>
          <w:color w:val="000000" w:themeColor="text1"/>
          <w:sz w:val="18"/>
          <w:szCs w:val="18"/>
        </w:rPr>
      </w:pPr>
    </w:p>
    <w:p w14:paraId="5BA1F7E8" w14:textId="77777777" w:rsidR="00B61B61" w:rsidRPr="007A2034" w:rsidRDefault="00B61B61" w:rsidP="00B97F78">
      <w:pPr>
        <w:pBdr>
          <w:top w:val="single" w:sz="4" w:space="1" w:color="auto"/>
        </w:pBdr>
        <w:autoSpaceDE w:val="0"/>
        <w:autoSpaceDN w:val="0"/>
        <w:spacing w:after="0" w:line="240" w:lineRule="auto"/>
        <w:jc w:val="center"/>
        <w:rPr>
          <w:rFonts w:ascii="Times New Roman" w:hAnsi="Times New Roman"/>
          <w:color w:val="000000" w:themeColor="text1"/>
          <w:sz w:val="18"/>
          <w:szCs w:val="18"/>
        </w:rPr>
      </w:pPr>
    </w:p>
    <w:p w14:paraId="25DD3A1E" w14:textId="77777777" w:rsidR="00B97F78" w:rsidRPr="007A2034" w:rsidRDefault="00B97F78" w:rsidP="00E0597C">
      <w:pPr>
        <w:pStyle w:val="1"/>
        <w:spacing w:before="40"/>
        <w:jc w:val="center"/>
        <w:rPr>
          <w:rFonts w:ascii="Times New Roman" w:hAnsi="Times New Roman" w:cs="Times New Roman"/>
          <w:b/>
          <w:color w:val="000000" w:themeColor="text1"/>
          <w:sz w:val="24"/>
          <w:szCs w:val="24"/>
          <w:lang w:eastAsia="x-none"/>
        </w:rPr>
      </w:pPr>
      <w:r w:rsidRPr="007A2034">
        <w:rPr>
          <w:rFonts w:ascii="Times New Roman" w:hAnsi="Times New Roman" w:cs="Times New Roman"/>
          <w:b/>
          <w:color w:val="000000" w:themeColor="text1"/>
          <w:sz w:val="24"/>
          <w:szCs w:val="24"/>
          <w:lang w:eastAsia="x-none"/>
        </w:rPr>
        <w:t>Банк ВТБ (публичное акционерное общество)</w:t>
      </w:r>
    </w:p>
    <w:p w14:paraId="330B5828" w14:textId="77777777" w:rsidR="00B97F78" w:rsidRPr="007A2034" w:rsidRDefault="00B97F78" w:rsidP="00B97F78">
      <w:pPr>
        <w:autoSpaceDE w:val="0"/>
        <w:autoSpaceDN w:val="0"/>
        <w:spacing w:after="0" w:line="240" w:lineRule="auto"/>
        <w:jc w:val="center"/>
        <w:rPr>
          <w:rFonts w:ascii="Times New Roman" w:hAnsi="Times New Roman"/>
          <w:b/>
          <w:bCs/>
          <w:i/>
          <w:iCs/>
          <w:sz w:val="20"/>
          <w:szCs w:val="20"/>
        </w:rPr>
      </w:pPr>
    </w:p>
    <w:p w14:paraId="6FB06542" w14:textId="77777777" w:rsidR="00B61B61" w:rsidRPr="007A2034" w:rsidRDefault="00B61B61" w:rsidP="00B97F78">
      <w:pPr>
        <w:autoSpaceDE w:val="0"/>
        <w:autoSpaceDN w:val="0"/>
        <w:spacing w:after="0" w:line="240" w:lineRule="auto"/>
        <w:jc w:val="center"/>
        <w:rPr>
          <w:rFonts w:ascii="Times New Roman" w:hAnsi="Times New Roman"/>
          <w:b/>
          <w:bCs/>
          <w:i/>
          <w:iCs/>
          <w:sz w:val="20"/>
          <w:szCs w:val="20"/>
        </w:rPr>
      </w:pPr>
    </w:p>
    <w:p w14:paraId="5D2976FB" w14:textId="77777777" w:rsidR="00B61B61" w:rsidRPr="007A2034" w:rsidRDefault="00B61B61" w:rsidP="00B97F78">
      <w:pPr>
        <w:autoSpaceDE w:val="0"/>
        <w:autoSpaceDN w:val="0"/>
        <w:spacing w:after="0" w:line="240" w:lineRule="auto"/>
        <w:jc w:val="center"/>
        <w:rPr>
          <w:rFonts w:ascii="Times New Roman" w:hAnsi="Times New Roman"/>
          <w:b/>
          <w:bCs/>
          <w:i/>
          <w:iCs/>
          <w:sz w:val="20"/>
          <w:szCs w:val="20"/>
        </w:rPr>
      </w:pPr>
    </w:p>
    <w:p w14:paraId="1AC66B81" w14:textId="77777777" w:rsidR="00B61B61" w:rsidRPr="007A2034" w:rsidRDefault="00B61B61" w:rsidP="00B97F78">
      <w:pPr>
        <w:autoSpaceDE w:val="0"/>
        <w:autoSpaceDN w:val="0"/>
        <w:spacing w:after="0" w:line="240" w:lineRule="auto"/>
        <w:jc w:val="center"/>
        <w:rPr>
          <w:rFonts w:ascii="Times New Roman" w:hAnsi="Times New Roman"/>
          <w:b/>
          <w:bCs/>
          <w:i/>
          <w:iCs/>
          <w:sz w:val="20"/>
          <w:szCs w:val="20"/>
        </w:rPr>
      </w:pPr>
    </w:p>
    <w:p w14:paraId="5541C667" w14:textId="261FEE11" w:rsidR="00B97F78" w:rsidRPr="007A2034" w:rsidRDefault="00B97F78" w:rsidP="00B97F78">
      <w:pPr>
        <w:autoSpaceDE w:val="0"/>
        <w:autoSpaceDN w:val="0"/>
        <w:spacing w:after="0" w:line="240" w:lineRule="auto"/>
        <w:jc w:val="center"/>
        <w:rPr>
          <w:rFonts w:ascii="Times New Roman" w:hAnsi="Times New Roman"/>
          <w:b/>
          <w:bCs/>
          <w:i/>
          <w:iCs/>
          <w:sz w:val="24"/>
          <w:szCs w:val="24"/>
        </w:rPr>
      </w:pPr>
      <w:r w:rsidRPr="007A2034">
        <w:rPr>
          <w:rFonts w:ascii="Times New Roman" w:hAnsi="Times New Roman"/>
          <w:b/>
          <w:bCs/>
          <w:i/>
          <w:iCs/>
          <w:sz w:val="24"/>
          <w:szCs w:val="24"/>
        </w:rPr>
        <w:t xml:space="preserve">биржевые облигации процентные неконвертируемые </w:t>
      </w:r>
      <w:r w:rsidR="00762460" w:rsidRPr="007A2034">
        <w:rPr>
          <w:rFonts w:ascii="Times New Roman" w:hAnsi="Times New Roman"/>
          <w:b/>
          <w:bCs/>
          <w:i/>
          <w:iCs/>
          <w:sz w:val="24"/>
          <w:szCs w:val="24"/>
        </w:rPr>
        <w:t>бездокументарные с централизованным учетом прав</w:t>
      </w:r>
      <w:r w:rsidRPr="007A2034">
        <w:rPr>
          <w:rFonts w:ascii="Times New Roman" w:hAnsi="Times New Roman"/>
          <w:b/>
          <w:bCs/>
          <w:i/>
          <w:iCs/>
          <w:sz w:val="24"/>
          <w:szCs w:val="24"/>
        </w:rPr>
        <w:t xml:space="preserve"> серии Б-1</w:t>
      </w:r>
      <w:r w:rsidR="0011701C" w:rsidRPr="007A2034">
        <w:rPr>
          <w:rFonts w:ascii="Times New Roman" w:hAnsi="Times New Roman"/>
          <w:b/>
          <w:bCs/>
          <w:i/>
          <w:iCs/>
          <w:sz w:val="24"/>
          <w:szCs w:val="24"/>
        </w:rPr>
        <w:t>-</w:t>
      </w:r>
      <w:r w:rsidR="00512FD7" w:rsidRPr="007A2034">
        <w:rPr>
          <w:rFonts w:ascii="Times New Roman" w:hAnsi="Times New Roman"/>
          <w:b/>
          <w:bCs/>
          <w:i/>
          <w:iCs/>
          <w:sz w:val="24"/>
          <w:szCs w:val="24"/>
        </w:rPr>
        <w:t>2</w:t>
      </w:r>
      <w:r w:rsidR="007A40FB" w:rsidRPr="007A2034">
        <w:rPr>
          <w:rFonts w:ascii="Times New Roman" w:hAnsi="Times New Roman"/>
          <w:b/>
          <w:bCs/>
          <w:i/>
          <w:iCs/>
          <w:sz w:val="24"/>
          <w:szCs w:val="24"/>
        </w:rPr>
        <w:t>85</w:t>
      </w:r>
      <w:r w:rsidR="002054B6" w:rsidRPr="007A2034">
        <w:rPr>
          <w:rFonts w:ascii="Times New Roman" w:hAnsi="Times New Roman"/>
          <w:b/>
          <w:bCs/>
          <w:i/>
          <w:iCs/>
          <w:sz w:val="24"/>
          <w:szCs w:val="24"/>
        </w:rPr>
        <w:t xml:space="preserve"> </w:t>
      </w:r>
      <w:r w:rsidRPr="007A2034">
        <w:rPr>
          <w:rFonts w:ascii="Times New Roman" w:hAnsi="Times New Roman"/>
          <w:b/>
          <w:bCs/>
          <w:i/>
          <w:iCs/>
          <w:sz w:val="24"/>
          <w:szCs w:val="24"/>
        </w:rPr>
        <w:t xml:space="preserve">номинальной стоимостью 1 000 (Одна тысяча) российских рублей каждая, со сроком погашения в </w:t>
      </w:r>
      <w:r w:rsidR="007A40FB" w:rsidRPr="007A2034">
        <w:rPr>
          <w:rFonts w:ascii="Times New Roman" w:hAnsi="Times New Roman"/>
          <w:b/>
          <w:bCs/>
          <w:i/>
          <w:iCs/>
          <w:sz w:val="24"/>
          <w:szCs w:val="24"/>
        </w:rPr>
        <w:t>547</w:t>
      </w:r>
      <w:r w:rsidR="002070D7" w:rsidRPr="007A2034">
        <w:rPr>
          <w:rFonts w:ascii="Times New Roman" w:hAnsi="Times New Roman"/>
          <w:b/>
          <w:bCs/>
          <w:i/>
          <w:iCs/>
          <w:sz w:val="24"/>
          <w:szCs w:val="24"/>
        </w:rPr>
        <w:t>-й (</w:t>
      </w:r>
      <w:r w:rsidR="008E64B4" w:rsidRPr="007A2034">
        <w:rPr>
          <w:rFonts w:ascii="Times New Roman" w:hAnsi="Times New Roman"/>
          <w:b/>
          <w:bCs/>
          <w:i/>
          <w:iCs/>
          <w:sz w:val="24"/>
          <w:szCs w:val="24"/>
        </w:rPr>
        <w:t>Пятьсот сорок седьмой</w:t>
      </w:r>
      <w:r w:rsidR="002070D7" w:rsidRPr="007A2034">
        <w:rPr>
          <w:rFonts w:ascii="Times New Roman" w:hAnsi="Times New Roman"/>
          <w:b/>
          <w:bCs/>
          <w:i/>
          <w:iCs/>
          <w:sz w:val="24"/>
          <w:szCs w:val="24"/>
        </w:rPr>
        <w:t>)</w:t>
      </w:r>
      <w:r w:rsidRPr="007A2034">
        <w:rPr>
          <w:rFonts w:ascii="Times New Roman" w:hAnsi="Times New Roman"/>
          <w:b/>
          <w:bCs/>
          <w:i/>
          <w:iCs/>
          <w:sz w:val="24"/>
          <w:szCs w:val="24"/>
        </w:rPr>
        <w:t xml:space="preserve"> день с даты начала размещения выпуска биржевых облигаций в рамках программы биржевых облигаций, размещаемые путем открытой подписки</w:t>
      </w:r>
    </w:p>
    <w:p w14:paraId="57654F62" w14:textId="77777777" w:rsidR="00B97F78" w:rsidRPr="007A2034" w:rsidRDefault="00B97F78" w:rsidP="00B97F78">
      <w:pPr>
        <w:autoSpaceDE w:val="0"/>
        <w:autoSpaceDN w:val="0"/>
        <w:spacing w:after="0" w:line="240" w:lineRule="auto"/>
        <w:jc w:val="center"/>
        <w:rPr>
          <w:rFonts w:ascii="Times New Roman" w:hAnsi="Times New Roman"/>
          <w:b/>
          <w:bCs/>
          <w:i/>
          <w:iCs/>
          <w:sz w:val="24"/>
          <w:szCs w:val="24"/>
        </w:rPr>
      </w:pPr>
    </w:p>
    <w:p w14:paraId="42C0DE66" w14:textId="77777777" w:rsidR="00B97F78" w:rsidRPr="007A2034" w:rsidRDefault="00B97F78" w:rsidP="00B97F78">
      <w:pPr>
        <w:pBdr>
          <w:top w:val="single" w:sz="4" w:space="1" w:color="auto"/>
        </w:pBdr>
        <w:spacing w:after="0" w:line="240" w:lineRule="auto"/>
        <w:jc w:val="center"/>
        <w:rPr>
          <w:rFonts w:ascii="Times New Roman" w:hAnsi="Times New Roman"/>
          <w:b/>
          <w:bCs/>
          <w:i/>
          <w:iCs/>
          <w:sz w:val="24"/>
          <w:szCs w:val="24"/>
        </w:rPr>
      </w:pPr>
    </w:p>
    <w:p w14:paraId="180A1664" w14:textId="77777777" w:rsidR="00DF4922" w:rsidRPr="007A2034" w:rsidRDefault="00DF4922" w:rsidP="00DF4922">
      <w:pPr>
        <w:pBdr>
          <w:top w:val="single" w:sz="4" w:space="1" w:color="auto"/>
        </w:pBdr>
        <w:spacing w:after="0" w:line="240" w:lineRule="auto"/>
        <w:jc w:val="center"/>
        <w:rPr>
          <w:rFonts w:ascii="Times New Roman" w:hAnsi="Times New Roman"/>
          <w:b/>
          <w:bCs/>
          <w:i/>
          <w:iCs/>
          <w:sz w:val="24"/>
          <w:szCs w:val="24"/>
        </w:rPr>
      </w:pPr>
      <w:r w:rsidRPr="007A2034">
        <w:rPr>
          <w:rFonts w:ascii="Times New Roman" w:hAnsi="Times New Roman"/>
          <w:b/>
          <w:bCs/>
          <w:i/>
          <w:iCs/>
          <w:sz w:val="24"/>
          <w:szCs w:val="24"/>
        </w:rPr>
        <w:t>Программа биржевых облигаций,</w:t>
      </w:r>
    </w:p>
    <w:p w14:paraId="5609AAF5" w14:textId="77777777" w:rsidR="00DF4922" w:rsidRPr="007A2034" w:rsidRDefault="00DF4922" w:rsidP="00DF4922">
      <w:pPr>
        <w:pBdr>
          <w:top w:val="single" w:sz="4" w:space="1" w:color="auto"/>
        </w:pBdr>
        <w:spacing w:after="0" w:line="240" w:lineRule="auto"/>
        <w:jc w:val="center"/>
        <w:rPr>
          <w:rFonts w:ascii="Times New Roman" w:hAnsi="Times New Roman"/>
          <w:b/>
          <w:bCs/>
          <w:i/>
          <w:iCs/>
          <w:sz w:val="24"/>
          <w:szCs w:val="24"/>
        </w:rPr>
      </w:pPr>
      <w:r w:rsidRPr="007A2034">
        <w:rPr>
          <w:rFonts w:ascii="Times New Roman" w:hAnsi="Times New Roman"/>
          <w:b/>
          <w:bCs/>
          <w:i/>
          <w:iCs/>
          <w:sz w:val="24"/>
          <w:szCs w:val="24"/>
        </w:rPr>
        <w:t>имеющая идентификационный номер 401000B001P02E от «05» августа 2015г.</w:t>
      </w:r>
    </w:p>
    <w:p w14:paraId="4BF04E6C" w14:textId="77777777" w:rsidR="00DF4922" w:rsidRPr="007A2034" w:rsidRDefault="00DF4922" w:rsidP="00DF4922">
      <w:pPr>
        <w:pBdr>
          <w:top w:val="single" w:sz="4" w:space="1" w:color="auto"/>
        </w:pBdr>
        <w:spacing w:after="0" w:line="240" w:lineRule="auto"/>
        <w:jc w:val="center"/>
        <w:rPr>
          <w:rFonts w:ascii="Times New Roman" w:hAnsi="Times New Roman"/>
          <w:b/>
          <w:bCs/>
          <w:i/>
          <w:iCs/>
          <w:sz w:val="24"/>
          <w:szCs w:val="24"/>
        </w:rPr>
      </w:pPr>
    </w:p>
    <w:p w14:paraId="5CFD61C5" w14:textId="77777777" w:rsidR="00DF4922" w:rsidRPr="007A2034" w:rsidRDefault="00DF4922" w:rsidP="00DF4922">
      <w:pPr>
        <w:pBdr>
          <w:top w:val="single" w:sz="4" w:space="1" w:color="auto"/>
        </w:pBdr>
        <w:spacing w:after="0" w:line="240" w:lineRule="auto"/>
        <w:jc w:val="center"/>
        <w:rPr>
          <w:rFonts w:ascii="Times New Roman" w:hAnsi="Times New Roman"/>
          <w:b/>
          <w:bCs/>
          <w:i/>
          <w:iCs/>
          <w:sz w:val="24"/>
          <w:szCs w:val="24"/>
        </w:rPr>
      </w:pPr>
    </w:p>
    <w:p w14:paraId="00CB3F44" w14:textId="26822969" w:rsidR="00B61B61" w:rsidRPr="007A2034" w:rsidRDefault="00DF4922" w:rsidP="00B61BE1">
      <w:pPr>
        <w:pBdr>
          <w:top w:val="single" w:sz="4" w:space="1" w:color="auto"/>
        </w:pBdr>
        <w:spacing w:after="0" w:line="240" w:lineRule="auto"/>
        <w:jc w:val="both"/>
        <w:rPr>
          <w:rFonts w:ascii="Times New Roman" w:hAnsi="Times New Roman"/>
          <w:b/>
          <w:bCs/>
          <w:i/>
          <w:iCs/>
          <w:sz w:val="24"/>
          <w:szCs w:val="24"/>
        </w:rPr>
      </w:pPr>
      <w:r w:rsidRPr="007A2034">
        <w:rPr>
          <w:rFonts w:ascii="Times New Roman" w:hAnsi="Times New Roman"/>
          <w:b/>
          <w:bCs/>
          <w:i/>
          <w:iCs/>
          <w:sz w:val="24"/>
          <w:szCs w:val="24"/>
        </w:rPr>
        <w:t>на основании решения об утверждении Программы биржевых облигаций (Решение о выпуске ценных бумаг Первая часть), принятого Наблюдательным советом Банка ВТБ (открытое акционерное общество) «22» июня 2015г. Протокол № 17 от «22» июня 2015 г.</w:t>
      </w:r>
    </w:p>
    <w:p w14:paraId="08D1E9DC" w14:textId="214638EB" w:rsidR="00324A8B" w:rsidRPr="007A2034" w:rsidRDefault="00324A8B" w:rsidP="00B61BE1">
      <w:pPr>
        <w:pBdr>
          <w:top w:val="single" w:sz="4" w:space="1" w:color="auto"/>
        </w:pBdr>
        <w:spacing w:after="0" w:line="240" w:lineRule="auto"/>
        <w:jc w:val="both"/>
        <w:rPr>
          <w:rFonts w:ascii="Times New Roman" w:hAnsi="Times New Roman"/>
          <w:b/>
          <w:bCs/>
          <w:i/>
          <w:iCs/>
          <w:sz w:val="24"/>
          <w:szCs w:val="24"/>
        </w:rPr>
      </w:pPr>
    </w:p>
    <w:p w14:paraId="1E024E03" w14:textId="15418A9B" w:rsidR="00324A8B" w:rsidRPr="007A2034" w:rsidRDefault="00324A8B" w:rsidP="00B61BE1">
      <w:pPr>
        <w:pBdr>
          <w:top w:val="single" w:sz="4" w:space="1" w:color="auto"/>
        </w:pBdr>
        <w:spacing w:after="0" w:line="240" w:lineRule="auto"/>
        <w:jc w:val="both"/>
        <w:rPr>
          <w:rFonts w:ascii="Times New Roman" w:hAnsi="Times New Roman"/>
          <w:b/>
          <w:bCs/>
          <w:i/>
          <w:iCs/>
          <w:sz w:val="24"/>
          <w:szCs w:val="24"/>
        </w:rPr>
      </w:pPr>
      <w:r w:rsidRPr="007A2034">
        <w:rPr>
          <w:rFonts w:ascii="Times New Roman" w:hAnsi="Times New Roman"/>
          <w:b/>
          <w:bCs/>
          <w:i/>
          <w:iCs/>
          <w:sz w:val="24"/>
          <w:szCs w:val="24"/>
        </w:rPr>
        <w:t>а также решения об утверждении изменений в Программу биржевых облигаций, принятого Наблюдательным советом Банка ВТБ (публичное акционерное общество) «26» февраля 2018г., Протокол № 2 от «26» февраля 2018г.</w:t>
      </w:r>
    </w:p>
    <w:p w14:paraId="1046CBAE" w14:textId="77777777" w:rsidR="00B61B61" w:rsidRPr="007A2034" w:rsidRDefault="00B61B61" w:rsidP="00B97F78">
      <w:pPr>
        <w:pBdr>
          <w:top w:val="single" w:sz="4" w:space="1" w:color="auto"/>
        </w:pBdr>
        <w:spacing w:after="0" w:line="240" w:lineRule="auto"/>
        <w:jc w:val="center"/>
        <w:rPr>
          <w:rFonts w:ascii="Times New Roman" w:hAnsi="Times New Roman"/>
          <w:b/>
          <w:bCs/>
          <w:i/>
          <w:iCs/>
          <w:sz w:val="24"/>
          <w:szCs w:val="24"/>
        </w:rPr>
      </w:pPr>
    </w:p>
    <w:p w14:paraId="070079A1" w14:textId="77777777" w:rsidR="00B61B61" w:rsidRPr="007A2034" w:rsidRDefault="00B61B61" w:rsidP="00B97F78">
      <w:pPr>
        <w:pBdr>
          <w:top w:val="single" w:sz="4" w:space="1" w:color="auto"/>
        </w:pBdr>
        <w:spacing w:after="0" w:line="240" w:lineRule="auto"/>
        <w:jc w:val="center"/>
        <w:rPr>
          <w:rFonts w:ascii="Times New Roman" w:hAnsi="Times New Roman"/>
          <w:b/>
          <w:bCs/>
          <w:i/>
          <w:iCs/>
          <w:sz w:val="24"/>
          <w:szCs w:val="24"/>
        </w:rPr>
      </w:pPr>
    </w:p>
    <w:p w14:paraId="42B7D3EE" w14:textId="77777777" w:rsidR="007C33C8" w:rsidRPr="007A2034" w:rsidRDefault="007C33C8" w:rsidP="00B97F78">
      <w:pPr>
        <w:pBdr>
          <w:top w:val="single" w:sz="4" w:space="1" w:color="auto"/>
        </w:pBdr>
        <w:spacing w:after="0" w:line="240" w:lineRule="auto"/>
        <w:jc w:val="center"/>
        <w:rPr>
          <w:rFonts w:ascii="Times New Roman" w:hAnsi="Times New Roman"/>
          <w:b/>
          <w:bCs/>
          <w:i/>
          <w:iCs/>
          <w:sz w:val="24"/>
          <w:szCs w:val="24"/>
        </w:rPr>
      </w:pPr>
    </w:p>
    <w:p w14:paraId="7F6D1ADF" w14:textId="77777777" w:rsidR="00B97F78" w:rsidRPr="007A2034" w:rsidRDefault="00B97F78" w:rsidP="00B97F78">
      <w:pPr>
        <w:tabs>
          <w:tab w:val="left" w:pos="284"/>
          <w:tab w:val="left" w:pos="567"/>
          <w:tab w:val="left" w:pos="1134"/>
          <w:tab w:val="left" w:pos="9214"/>
          <w:tab w:val="left" w:pos="9356"/>
        </w:tabs>
        <w:spacing w:after="0" w:line="240" w:lineRule="auto"/>
        <w:jc w:val="both"/>
        <w:rPr>
          <w:rFonts w:ascii="Times New Roman" w:hAnsi="Times New Roman"/>
          <w:b/>
          <w:bCs/>
          <w:i/>
          <w:iCs/>
          <w:color w:val="000000" w:themeColor="text1"/>
          <w:sz w:val="24"/>
          <w:szCs w:val="24"/>
        </w:rPr>
      </w:pPr>
      <w:r w:rsidRPr="007A2034">
        <w:rPr>
          <w:rFonts w:ascii="Times New Roman" w:hAnsi="Times New Roman"/>
          <w:color w:val="000000" w:themeColor="text1"/>
          <w:sz w:val="24"/>
          <w:szCs w:val="24"/>
        </w:rPr>
        <w:t xml:space="preserve">Место нахождения эмитента: </w:t>
      </w:r>
      <w:r w:rsidRPr="007A2034">
        <w:rPr>
          <w:rFonts w:ascii="Times New Roman" w:hAnsi="Times New Roman"/>
          <w:b/>
          <w:bCs/>
          <w:i/>
          <w:iCs/>
          <w:color w:val="000000" w:themeColor="text1"/>
          <w:sz w:val="24"/>
          <w:szCs w:val="24"/>
        </w:rPr>
        <w:t xml:space="preserve">Российская Федерация, город Санкт-Петербург </w:t>
      </w:r>
    </w:p>
    <w:p w14:paraId="5DF7356B" w14:textId="77777777" w:rsidR="00B97F78" w:rsidRPr="007A2034" w:rsidRDefault="00B97F78" w:rsidP="00B97F78">
      <w:pPr>
        <w:tabs>
          <w:tab w:val="left" w:pos="284"/>
          <w:tab w:val="left" w:pos="9214"/>
          <w:tab w:val="left" w:pos="9356"/>
        </w:tabs>
        <w:autoSpaceDE w:val="0"/>
        <w:autoSpaceDN w:val="0"/>
        <w:adjustRightInd w:val="0"/>
        <w:spacing w:after="0" w:line="240" w:lineRule="auto"/>
        <w:jc w:val="both"/>
        <w:rPr>
          <w:rFonts w:ascii="Times New Roman" w:hAnsi="Times New Roman"/>
          <w:b/>
          <w:i/>
          <w:color w:val="000000" w:themeColor="text1"/>
          <w:sz w:val="20"/>
          <w:szCs w:val="20"/>
        </w:rPr>
      </w:pPr>
    </w:p>
    <w:p w14:paraId="172D5F90" w14:textId="77777777" w:rsidR="007C33C8" w:rsidRPr="007A2034" w:rsidRDefault="007C33C8" w:rsidP="00B97F78">
      <w:pPr>
        <w:tabs>
          <w:tab w:val="left" w:pos="284"/>
          <w:tab w:val="left" w:pos="9214"/>
          <w:tab w:val="left" w:pos="9356"/>
        </w:tabs>
        <w:autoSpaceDE w:val="0"/>
        <w:autoSpaceDN w:val="0"/>
        <w:adjustRightInd w:val="0"/>
        <w:spacing w:after="0" w:line="240" w:lineRule="auto"/>
        <w:jc w:val="both"/>
        <w:rPr>
          <w:rFonts w:ascii="Times New Roman" w:hAnsi="Times New Roman"/>
          <w:b/>
          <w:i/>
          <w:color w:val="000000" w:themeColor="text1"/>
          <w:sz w:val="20"/>
          <w:szCs w:val="20"/>
        </w:rPr>
      </w:pPr>
    </w:p>
    <w:tbl>
      <w:tblPr>
        <w:tblW w:w="10065" w:type="dxa"/>
        <w:tblInd w:w="-114" w:type="dxa"/>
        <w:tblCellMar>
          <w:left w:w="28" w:type="dxa"/>
          <w:right w:w="28" w:type="dxa"/>
        </w:tblCellMar>
        <w:tblLook w:val="0000" w:firstRow="0" w:lastRow="0" w:firstColumn="0" w:lastColumn="0" w:noHBand="0" w:noVBand="0"/>
      </w:tblPr>
      <w:tblGrid>
        <w:gridCol w:w="861"/>
        <w:gridCol w:w="461"/>
        <w:gridCol w:w="274"/>
        <w:gridCol w:w="1482"/>
        <w:gridCol w:w="536"/>
        <w:gridCol w:w="337"/>
        <w:gridCol w:w="2331"/>
        <w:gridCol w:w="77"/>
        <w:gridCol w:w="1266"/>
        <w:gridCol w:w="104"/>
        <w:gridCol w:w="2336"/>
      </w:tblGrid>
      <w:tr w:rsidR="00762460" w:rsidRPr="007A2034" w14:paraId="2145ACB5" w14:textId="77777777" w:rsidTr="00B61B61">
        <w:tc>
          <w:tcPr>
            <w:tcW w:w="6282" w:type="dxa"/>
            <w:gridSpan w:val="7"/>
            <w:tcBorders>
              <w:top w:val="single" w:sz="4" w:space="0" w:color="auto"/>
              <w:left w:val="single" w:sz="4" w:space="0" w:color="auto"/>
              <w:right w:val="nil"/>
            </w:tcBorders>
            <w:vAlign w:val="bottom"/>
          </w:tcPr>
          <w:p w14:paraId="4D0F3826" w14:textId="77777777" w:rsidR="00762460" w:rsidRPr="007A2034" w:rsidRDefault="00762460" w:rsidP="00762460">
            <w:pPr>
              <w:spacing w:after="0" w:line="240" w:lineRule="auto"/>
              <w:ind w:left="142"/>
              <w:rPr>
                <w:rFonts w:ascii="Times New Roman" w:hAnsi="Times New Roman"/>
                <w:b/>
                <w:color w:val="000000"/>
                <w:sz w:val="20"/>
                <w:szCs w:val="20"/>
              </w:rPr>
            </w:pPr>
          </w:p>
          <w:p w14:paraId="5BE9F1BB" w14:textId="77777777" w:rsidR="00762460" w:rsidRPr="007A2034" w:rsidRDefault="00762460" w:rsidP="00762460">
            <w:pPr>
              <w:spacing w:after="0" w:line="240" w:lineRule="auto"/>
              <w:ind w:left="142"/>
              <w:rPr>
                <w:rFonts w:ascii="Times New Roman" w:hAnsi="Times New Roman"/>
                <w:b/>
                <w:color w:val="000000"/>
              </w:rPr>
            </w:pPr>
            <w:r w:rsidRPr="007A2034">
              <w:rPr>
                <w:rFonts w:ascii="Times New Roman" w:hAnsi="Times New Roman"/>
                <w:b/>
                <w:color w:val="000000"/>
              </w:rPr>
              <w:t>Начальник Управления казначейских операций</w:t>
            </w:r>
          </w:p>
          <w:p w14:paraId="50DDB992" w14:textId="77777777" w:rsidR="00631A9B" w:rsidRPr="007A2034" w:rsidRDefault="00762460" w:rsidP="00631A9B">
            <w:pPr>
              <w:spacing w:after="0" w:line="240" w:lineRule="auto"/>
              <w:ind w:left="142"/>
              <w:rPr>
                <w:rFonts w:ascii="Times New Roman" w:hAnsi="Times New Roman"/>
                <w:b/>
                <w:color w:val="000000"/>
              </w:rPr>
            </w:pPr>
            <w:r w:rsidRPr="007A2034">
              <w:rPr>
                <w:rFonts w:ascii="Times New Roman" w:hAnsi="Times New Roman"/>
                <w:b/>
                <w:color w:val="000000"/>
              </w:rPr>
              <w:t>на открытых рынках Казначейства Финансового департамента -</w:t>
            </w:r>
            <w:r w:rsidR="00631A9B" w:rsidRPr="007A2034">
              <w:rPr>
                <w:rFonts w:ascii="Times New Roman" w:hAnsi="Times New Roman"/>
                <w:b/>
                <w:color w:val="000000"/>
              </w:rPr>
              <w:t xml:space="preserve"> вице-президент, действующий на</w:t>
            </w:r>
          </w:p>
          <w:p w14:paraId="1F3A8D75" w14:textId="6B251290" w:rsidR="00762460" w:rsidRPr="007A2034" w:rsidRDefault="00631A9B" w:rsidP="00DD4F72">
            <w:pPr>
              <w:spacing w:after="0" w:line="240" w:lineRule="auto"/>
              <w:ind w:left="142"/>
              <w:rPr>
                <w:rFonts w:ascii="Times New Roman" w:hAnsi="Times New Roman"/>
                <w:b/>
                <w:color w:val="000000" w:themeColor="text1"/>
                <w:sz w:val="24"/>
              </w:rPr>
            </w:pPr>
            <w:r w:rsidRPr="007A2034">
              <w:rPr>
                <w:rFonts w:ascii="Times New Roman" w:hAnsi="Times New Roman"/>
                <w:b/>
                <w:color w:val="000000"/>
              </w:rPr>
              <w:t xml:space="preserve">основании </w:t>
            </w:r>
            <w:r w:rsidR="00762460" w:rsidRPr="007A2034">
              <w:rPr>
                <w:rFonts w:ascii="Times New Roman" w:hAnsi="Times New Roman"/>
                <w:b/>
                <w:color w:val="000000"/>
              </w:rPr>
              <w:t>доверенности №350000/</w:t>
            </w:r>
            <w:r w:rsidR="00DD4F72" w:rsidRPr="007A2034">
              <w:rPr>
                <w:rFonts w:ascii="Times New Roman" w:hAnsi="Times New Roman"/>
                <w:b/>
                <w:color w:val="000000"/>
                <w:lang w:val="en-US"/>
              </w:rPr>
              <w:t>1676</w:t>
            </w:r>
            <w:r w:rsidR="00762460" w:rsidRPr="007A2034">
              <w:rPr>
                <w:rFonts w:ascii="Times New Roman" w:hAnsi="Times New Roman"/>
                <w:b/>
                <w:color w:val="000000"/>
              </w:rPr>
              <w:t xml:space="preserve">-ДН от </w:t>
            </w:r>
            <w:r w:rsidR="00DD4F72" w:rsidRPr="007A2034">
              <w:rPr>
                <w:rFonts w:ascii="Times New Roman" w:hAnsi="Times New Roman"/>
                <w:b/>
                <w:color w:val="000000"/>
                <w:lang w:val="en-US"/>
              </w:rPr>
              <w:t>03</w:t>
            </w:r>
            <w:r w:rsidR="00DD4F72" w:rsidRPr="007A2034">
              <w:rPr>
                <w:rFonts w:ascii="Times New Roman" w:hAnsi="Times New Roman"/>
                <w:b/>
                <w:color w:val="000000"/>
              </w:rPr>
              <w:t>.0</w:t>
            </w:r>
            <w:r w:rsidR="00DD4F72" w:rsidRPr="007A2034">
              <w:rPr>
                <w:rFonts w:ascii="Times New Roman" w:hAnsi="Times New Roman"/>
                <w:b/>
                <w:color w:val="000000"/>
                <w:lang w:val="en-US"/>
              </w:rPr>
              <w:t>9</w:t>
            </w:r>
            <w:r w:rsidR="00762460" w:rsidRPr="007A2034">
              <w:rPr>
                <w:rFonts w:ascii="Times New Roman" w:hAnsi="Times New Roman"/>
                <w:b/>
                <w:color w:val="000000"/>
              </w:rPr>
              <w:t xml:space="preserve">.2020 </w:t>
            </w:r>
          </w:p>
        </w:tc>
        <w:tc>
          <w:tcPr>
            <w:tcW w:w="77" w:type="dxa"/>
            <w:tcBorders>
              <w:top w:val="single" w:sz="4" w:space="0" w:color="auto"/>
              <w:left w:val="nil"/>
              <w:bottom w:val="nil"/>
              <w:right w:val="nil"/>
            </w:tcBorders>
            <w:vAlign w:val="bottom"/>
          </w:tcPr>
          <w:p w14:paraId="2451805F" w14:textId="77777777" w:rsidR="00762460" w:rsidRPr="007A2034" w:rsidRDefault="00762460" w:rsidP="00762460">
            <w:pPr>
              <w:spacing w:after="0" w:line="240" w:lineRule="auto"/>
              <w:ind w:left="142"/>
              <w:rPr>
                <w:rFonts w:ascii="Times New Roman" w:hAnsi="Times New Roman"/>
                <w:color w:val="000000" w:themeColor="text1"/>
                <w:sz w:val="24"/>
              </w:rPr>
            </w:pPr>
          </w:p>
        </w:tc>
        <w:tc>
          <w:tcPr>
            <w:tcW w:w="1266" w:type="dxa"/>
            <w:tcBorders>
              <w:top w:val="single" w:sz="4" w:space="0" w:color="auto"/>
              <w:left w:val="nil"/>
              <w:right w:val="nil"/>
            </w:tcBorders>
            <w:vAlign w:val="bottom"/>
          </w:tcPr>
          <w:p w14:paraId="65B67F32" w14:textId="77777777" w:rsidR="00762460" w:rsidRPr="007A2034" w:rsidRDefault="00762460" w:rsidP="00762460">
            <w:pPr>
              <w:spacing w:after="0" w:line="240" w:lineRule="auto"/>
              <w:ind w:left="142" w:right="-28"/>
              <w:jc w:val="center"/>
              <w:rPr>
                <w:rFonts w:ascii="Times New Roman" w:hAnsi="Times New Roman"/>
                <w:color w:val="000000" w:themeColor="text1"/>
                <w:sz w:val="24"/>
              </w:rPr>
            </w:pPr>
          </w:p>
        </w:tc>
        <w:tc>
          <w:tcPr>
            <w:tcW w:w="104" w:type="dxa"/>
            <w:tcBorders>
              <w:top w:val="single" w:sz="4" w:space="0" w:color="auto"/>
              <w:left w:val="nil"/>
              <w:bottom w:val="nil"/>
              <w:right w:val="nil"/>
            </w:tcBorders>
            <w:vAlign w:val="bottom"/>
          </w:tcPr>
          <w:p w14:paraId="253A9455" w14:textId="77777777" w:rsidR="00762460" w:rsidRPr="007A2034" w:rsidRDefault="00762460" w:rsidP="00762460">
            <w:pPr>
              <w:spacing w:after="0" w:line="240" w:lineRule="auto"/>
              <w:ind w:left="142"/>
              <w:rPr>
                <w:rFonts w:ascii="Times New Roman" w:hAnsi="Times New Roman"/>
                <w:color w:val="000000" w:themeColor="text1"/>
                <w:sz w:val="24"/>
              </w:rPr>
            </w:pPr>
          </w:p>
        </w:tc>
        <w:tc>
          <w:tcPr>
            <w:tcW w:w="2336" w:type="dxa"/>
            <w:tcBorders>
              <w:top w:val="single" w:sz="4" w:space="0" w:color="auto"/>
              <w:left w:val="nil"/>
              <w:right w:val="single" w:sz="4" w:space="0" w:color="auto"/>
            </w:tcBorders>
            <w:vAlign w:val="bottom"/>
          </w:tcPr>
          <w:p w14:paraId="53593B52" w14:textId="77777777" w:rsidR="00762460" w:rsidRPr="007A2034" w:rsidRDefault="00762460" w:rsidP="00762460">
            <w:pPr>
              <w:spacing w:after="0" w:line="240" w:lineRule="auto"/>
              <w:ind w:left="8"/>
              <w:rPr>
                <w:rFonts w:ascii="Times New Roman" w:hAnsi="Times New Roman"/>
                <w:b/>
                <w:color w:val="000000" w:themeColor="text1"/>
                <w:sz w:val="24"/>
              </w:rPr>
            </w:pPr>
            <w:r w:rsidRPr="007A2034">
              <w:rPr>
                <w:rFonts w:ascii="Times New Roman" w:hAnsi="Times New Roman"/>
                <w:b/>
                <w:color w:val="000000" w:themeColor="text1"/>
                <w:sz w:val="24"/>
              </w:rPr>
              <w:t xml:space="preserve"> В.В. Томашевский</w:t>
            </w:r>
          </w:p>
        </w:tc>
      </w:tr>
      <w:tr w:rsidR="00762460" w:rsidRPr="007A2034" w14:paraId="4C34D64D" w14:textId="77777777" w:rsidTr="00B61B61">
        <w:tc>
          <w:tcPr>
            <w:tcW w:w="861" w:type="dxa"/>
            <w:tcBorders>
              <w:left w:val="single" w:sz="4" w:space="0" w:color="auto"/>
              <w:bottom w:val="single" w:sz="4" w:space="0" w:color="auto"/>
              <w:right w:val="nil"/>
            </w:tcBorders>
            <w:vAlign w:val="bottom"/>
          </w:tcPr>
          <w:p w14:paraId="4497836C" w14:textId="77777777" w:rsidR="00762460" w:rsidRPr="007A2034" w:rsidRDefault="00762460" w:rsidP="00762460">
            <w:pPr>
              <w:spacing w:after="0" w:line="240" w:lineRule="auto"/>
              <w:rPr>
                <w:rFonts w:ascii="Times New Roman" w:hAnsi="Times New Roman"/>
                <w:color w:val="000000" w:themeColor="text1"/>
                <w:sz w:val="20"/>
                <w:szCs w:val="20"/>
              </w:rPr>
            </w:pPr>
          </w:p>
        </w:tc>
        <w:tc>
          <w:tcPr>
            <w:tcW w:w="461" w:type="dxa"/>
            <w:tcBorders>
              <w:left w:val="nil"/>
              <w:bottom w:val="single" w:sz="4" w:space="0" w:color="auto"/>
              <w:right w:val="nil"/>
            </w:tcBorders>
            <w:vAlign w:val="bottom"/>
          </w:tcPr>
          <w:p w14:paraId="0399B223" w14:textId="77777777" w:rsidR="00762460" w:rsidRPr="007A2034" w:rsidRDefault="00762460" w:rsidP="00762460">
            <w:pPr>
              <w:spacing w:after="0" w:line="240" w:lineRule="auto"/>
              <w:jc w:val="center"/>
              <w:rPr>
                <w:rFonts w:ascii="Times New Roman" w:hAnsi="Times New Roman"/>
                <w:color w:val="000000" w:themeColor="text1"/>
                <w:sz w:val="20"/>
                <w:szCs w:val="20"/>
              </w:rPr>
            </w:pPr>
          </w:p>
        </w:tc>
        <w:tc>
          <w:tcPr>
            <w:tcW w:w="274" w:type="dxa"/>
            <w:tcBorders>
              <w:left w:val="nil"/>
              <w:bottom w:val="single" w:sz="4" w:space="0" w:color="auto"/>
              <w:right w:val="nil"/>
            </w:tcBorders>
            <w:vAlign w:val="bottom"/>
          </w:tcPr>
          <w:p w14:paraId="3A538B68" w14:textId="77777777" w:rsidR="00762460" w:rsidRPr="007A2034" w:rsidRDefault="00762460" w:rsidP="00762460">
            <w:pPr>
              <w:spacing w:after="0" w:line="240" w:lineRule="auto"/>
              <w:rPr>
                <w:rFonts w:ascii="Times New Roman" w:hAnsi="Times New Roman"/>
                <w:color w:val="000000" w:themeColor="text1"/>
                <w:sz w:val="20"/>
                <w:szCs w:val="20"/>
              </w:rPr>
            </w:pPr>
          </w:p>
        </w:tc>
        <w:tc>
          <w:tcPr>
            <w:tcW w:w="1482" w:type="dxa"/>
            <w:tcBorders>
              <w:left w:val="nil"/>
              <w:bottom w:val="single" w:sz="4" w:space="0" w:color="auto"/>
              <w:right w:val="nil"/>
            </w:tcBorders>
            <w:vAlign w:val="bottom"/>
          </w:tcPr>
          <w:p w14:paraId="3217F271" w14:textId="77777777" w:rsidR="00762460" w:rsidRPr="007A2034" w:rsidRDefault="00762460" w:rsidP="00762460">
            <w:pPr>
              <w:spacing w:after="0" w:line="240" w:lineRule="auto"/>
              <w:rPr>
                <w:rFonts w:ascii="Times New Roman" w:hAnsi="Times New Roman"/>
                <w:color w:val="000000" w:themeColor="text1"/>
                <w:sz w:val="20"/>
                <w:szCs w:val="20"/>
              </w:rPr>
            </w:pPr>
          </w:p>
        </w:tc>
        <w:tc>
          <w:tcPr>
            <w:tcW w:w="536" w:type="dxa"/>
            <w:tcBorders>
              <w:left w:val="nil"/>
              <w:bottom w:val="single" w:sz="4" w:space="0" w:color="auto"/>
              <w:right w:val="nil"/>
            </w:tcBorders>
            <w:vAlign w:val="bottom"/>
          </w:tcPr>
          <w:p w14:paraId="5BBCB4D6" w14:textId="77777777" w:rsidR="00762460" w:rsidRPr="007A2034" w:rsidRDefault="00762460" w:rsidP="00762460">
            <w:pPr>
              <w:spacing w:after="0" w:line="240" w:lineRule="auto"/>
              <w:jc w:val="right"/>
              <w:rPr>
                <w:rFonts w:ascii="Times New Roman" w:hAnsi="Times New Roman"/>
                <w:color w:val="000000" w:themeColor="text1"/>
                <w:sz w:val="20"/>
                <w:szCs w:val="20"/>
              </w:rPr>
            </w:pPr>
          </w:p>
        </w:tc>
        <w:tc>
          <w:tcPr>
            <w:tcW w:w="337" w:type="dxa"/>
            <w:tcBorders>
              <w:left w:val="nil"/>
              <w:bottom w:val="single" w:sz="4" w:space="0" w:color="auto"/>
              <w:right w:val="nil"/>
            </w:tcBorders>
            <w:vAlign w:val="bottom"/>
          </w:tcPr>
          <w:p w14:paraId="71726323" w14:textId="77777777" w:rsidR="00762460" w:rsidRPr="007A2034" w:rsidRDefault="00762460" w:rsidP="00762460">
            <w:pPr>
              <w:spacing w:after="0" w:line="240" w:lineRule="auto"/>
              <w:jc w:val="center"/>
              <w:rPr>
                <w:rFonts w:ascii="Times New Roman" w:hAnsi="Times New Roman"/>
                <w:color w:val="000000" w:themeColor="text1"/>
                <w:sz w:val="20"/>
                <w:szCs w:val="20"/>
              </w:rPr>
            </w:pPr>
          </w:p>
        </w:tc>
        <w:tc>
          <w:tcPr>
            <w:tcW w:w="3674" w:type="dxa"/>
            <w:gridSpan w:val="3"/>
            <w:tcBorders>
              <w:left w:val="nil"/>
              <w:bottom w:val="single" w:sz="4" w:space="0" w:color="auto"/>
              <w:right w:val="nil"/>
            </w:tcBorders>
            <w:vAlign w:val="bottom"/>
          </w:tcPr>
          <w:p w14:paraId="4C52170C" w14:textId="77777777" w:rsidR="00762460" w:rsidRPr="007A2034" w:rsidRDefault="00762460" w:rsidP="00762460">
            <w:pPr>
              <w:tabs>
                <w:tab w:val="left" w:pos="2098"/>
              </w:tabs>
              <w:spacing w:after="0" w:line="240" w:lineRule="auto"/>
              <w:ind w:left="57"/>
              <w:rPr>
                <w:rFonts w:ascii="Times New Roman" w:hAnsi="Times New Roman"/>
                <w:color w:val="000000" w:themeColor="text1"/>
                <w:sz w:val="20"/>
                <w:szCs w:val="20"/>
              </w:rPr>
            </w:pPr>
          </w:p>
        </w:tc>
        <w:tc>
          <w:tcPr>
            <w:tcW w:w="2440" w:type="dxa"/>
            <w:gridSpan w:val="2"/>
            <w:tcBorders>
              <w:left w:val="nil"/>
              <w:bottom w:val="single" w:sz="4" w:space="0" w:color="auto"/>
              <w:right w:val="single" w:sz="4" w:space="0" w:color="auto"/>
            </w:tcBorders>
          </w:tcPr>
          <w:p w14:paraId="044AFF67" w14:textId="77777777" w:rsidR="00762460" w:rsidRPr="007A2034" w:rsidRDefault="00762460" w:rsidP="00762460">
            <w:pPr>
              <w:tabs>
                <w:tab w:val="left" w:pos="2098"/>
              </w:tabs>
              <w:spacing w:after="0" w:line="240" w:lineRule="auto"/>
              <w:ind w:left="57"/>
              <w:rPr>
                <w:rFonts w:ascii="Times New Roman" w:hAnsi="Times New Roman"/>
                <w:color w:val="000000" w:themeColor="text1"/>
                <w:sz w:val="20"/>
                <w:szCs w:val="20"/>
              </w:rPr>
            </w:pPr>
          </w:p>
        </w:tc>
      </w:tr>
    </w:tbl>
    <w:p w14:paraId="220E378B" w14:textId="77777777" w:rsidR="00B97F78" w:rsidRPr="007A2034" w:rsidRDefault="00B97F78" w:rsidP="00B97F78">
      <w:pPr>
        <w:rPr>
          <w:rFonts w:ascii="Times New Roman" w:hAnsi="Times New Roman"/>
          <w:b/>
          <w:bCs/>
          <w:iCs/>
          <w:sz w:val="24"/>
          <w:szCs w:val="24"/>
        </w:rPr>
      </w:pPr>
      <w:r w:rsidRPr="007A2034">
        <w:rPr>
          <w:rFonts w:ascii="Times New Roman" w:hAnsi="Times New Roman"/>
          <w:b/>
          <w:bCs/>
          <w:iCs/>
          <w:sz w:val="24"/>
          <w:szCs w:val="24"/>
        </w:rPr>
        <w:br w:type="page"/>
      </w:r>
    </w:p>
    <w:p w14:paraId="167594BC" w14:textId="77777777" w:rsidR="00B97F78" w:rsidRPr="007A2034" w:rsidRDefault="00B97F78"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lastRenderedPageBreak/>
        <w:t>Далее в настоящем документе будут использоваться следующие термины:</w:t>
      </w:r>
    </w:p>
    <w:p w14:paraId="0BEE974D" w14:textId="4223A16D" w:rsidR="00762460" w:rsidRPr="007A2034" w:rsidRDefault="00762460" w:rsidP="00637A53">
      <w:pPr>
        <w:autoSpaceDE w:val="0"/>
        <w:autoSpaceDN w:val="0"/>
        <w:adjustRightInd w:val="0"/>
        <w:spacing w:before="120" w:after="120" w:line="240" w:lineRule="auto"/>
        <w:ind w:firstLine="567"/>
        <w:jc w:val="both"/>
        <w:rPr>
          <w:rFonts w:ascii="Times New Roman" w:hAnsi="Times New Roman"/>
          <w:bCs/>
          <w:i/>
          <w:iCs/>
          <w:sz w:val="24"/>
          <w:szCs w:val="24"/>
        </w:rPr>
      </w:pPr>
      <w:r w:rsidRPr="007A2034">
        <w:rPr>
          <w:rFonts w:ascii="Times New Roman" w:hAnsi="Times New Roman"/>
          <w:b/>
          <w:bCs/>
          <w:i/>
          <w:iCs/>
          <w:sz w:val="24"/>
          <w:szCs w:val="24"/>
        </w:rPr>
        <w:t>Программа</w:t>
      </w:r>
      <w:r w:rsidR="00DD649A" w:rsidRPr="007A2034">
        <w:rPr>
          <w:rFonts w:ascii="Times New Roman" w:hAnsi="Times New Roman"/>
          <w:b/>
          <w:bCs/>
          <w:i/>
          <w:iCs/>
          <w:sz w:val="24"/>
          <w:szCs w:val="24"/>
        </w:rPr>
        <w:t xml:space="preserve">, </w:t>
      </w:r>
      <w:r w:rsidRPr="007A2034">
        <w:rPr>
          <w:rFonts w:ascii="Times New Roman" w:hAnsi="Times New Roman"/>
          <w:b/>
          <w:bCs/>
          <w:i/>
          <w:iCs/>
          <w:sz w:val="24"/>
          <w:szCs w:val="24"/>
        </w:rPr>
        <w:t xml:space="preserve">Программа облигаций, Программа биржевых облигаций </w:t>
      </w:r>
      <w:r w:rsidR="009F6BE5" w:rsidRPr="007A2034">
        <w:rPr>
          <w:rFonts w:ascii="Times New Roman" w:hAnsi="Times New Roman"/>
          <w:bCs/>
          <w:iCs/>
          <w:sz w:val="24"/>
          <w:szCs w:val="24"/>
        </w:rPr>
        <w:t>–</w:t>
      </w:r>
      <w:r w:rsidRPr="007A2034">
        <w:rPr>
          <w:rFonts w:ascii="Times New Roman" w:hAnsi="Times New Roman"/>
          <w:bCs/>
          <w:iCs/>
          <w:sz w:val="24"/>
          <w:szCs w:val="24"/>
        </w:rPr>
        <w:t xml:space="preserve"> программ</w:t>
      </w:r>
      <w:r w:rsidR="009F6BE5" w:rsidRPr="007A2034">
        <w:rPr>
          <w:rFonts w:ascii="Times New Roman" w:hAnsi="Times New Roman"/>
          <w:bCs/>
          <w:iCs/>
          <w:sz w:val="24"/>
          <w:szCs w:val="24"/>
        </w:rPr>
        <w:t xml:space="preserve">а </w:t>
      </w:r>
      <w:r w:rsidRPr="007A2034">
        <w:rPr>
          <w:rFonts w:ascii="Times New Roman" w:hAnsi="Times New Roman"/>
          <w:bCs/>
          <w:iCs/>
          <w:sz w:val="24"/>
          <w:szCs w:val="24"/>
        </w:rPr>
        <w:t>биржевых облигаций</w:t>
      </w:r>
      <w:r w:rsidR="00BE22BA" w:rsidRPr="007A2034">
        <w:rPr>
          <w:rFonts w:ascii="Times New Roman" w:hAnsi="Times New Roman"/>
          <w:bCs/>
          <w:iCs/>
          <w:sz w:val="24"/>
          <w:szCs w:val="24"/>
        </w:rPr>
        <w:t xml:space="preserve"> </w:t>
      </w:r>
      <w:r w:rsidR="00637A53" w:rsidRPr="007A2034">
        <w:rPr>
          <w:rFonts w:ascii="Times New Roman" w:hAnsi="Times New Roman"/>
          <w:bCs/>
          <w:iCs/>
          <w:sz w:val="24"/>
          <w:szCs w:val="24"/>
        </w:rPr>
        <w:t>с внесенными</w:t>
      </w:r>
      <w:r w:rsidR="00BE22BA" w:rsidRPr="007A2034">
        <w:rPr>
          <w:rFonts w:ascii="Times New Roman" w:hAnsi="Times New Roman"/>
          <w:bCs/>
          <w:iCs/>
          <w:sz w:val="24"/>
          <w:szCs w:val="24"/>
        </w:rPr>
        <w:t xml:space="preserve"> </w:t>
      </w:r>
      <w:r w:rsidR="00637A53" w:rsidRPr="007A2034">
        <w:rPr>
          <w:rFonts w:ascii="Times New Roman" w:hAnsi="Times New Roman"/>
          <w:bCs/>
          <w:iCs/>
          <w:sz w:val="24"/>
          <w:szCs w:val="24"/>
        </w:rPr>
        <w:t>изменениями</w:t>
      </w:r>
      <w:r w:rsidRPr="007A2034">
        <w:rPr>
          <w:rFonts w:ascii="Times New Roman" w:hAnsi="Times New Roman"/>
          <w:bCs/>
          <w:iCs/>
          <w:sz w:val="24"/>
          <w:szCs w:val="24"/>
        </w:rPr>
        <w:t>, имеющ</w:t>
      </w:r>
      <w:r w:rsidR="009F6BE5" w:rsidRPr="007A2034">
        <w:rPr>
          <w:rFonts w:ascii="Times New Roman" w:hAnsi="Times New Roman"/>
          <w:bCs/>
          <w:iCs/>
          <w:sz w:val="24"/>
          <w:szCs w:val="24"/>
        </w:rPr>
        <w:t>ая</w:t>
      </w:r>
      <w:r w:rsidR="008C6050" w:rsidRPr="007A2034">
        <w:rPr>
          <w:rFonts w:ascii="Times New Roman" w:hAnsi="Times New Roman"/>
          <w:bCs/>
          <w:iCs/>
          <w:sz w:val="24"/>
          <w:szCs w:val="24"/>
        </w:rPr>
        <w:t xml:space="preserve"> идентификационный номер </w:t>
      </w:r>
      <w:r w:rsidRPr="007A2034">
        <w:rPr>
          <w:rFonts w:ascii="Times New Roman" w:hAnsi="Times New Roman"/>
          <w:bCs/>
          <w:iCs/>
          <w:sz w:val="24"/>
          <w:szCs w:val="24"/>
        </w:rPr>
        <w:t>401000B001P02E от 05.08.2015, в рамках которой размещается настоящий выпуск Биржевых облигаций</w:t>
      </w:r>
      <w:r w:rsidR="009F6BE5" w:rsidRPr="007A2034">
        <w:rPr>
          <w:rFonts w:ascii="Times New Roman" w:hAnsi="Times New Roman"/>
          <w:bCs/>
          <w:iCs/>
          <w:sz w:val="24"/>
          <w:szCs w:val="24"/>
        </w:rPr>
        <w:t>;</w:t>
      </w:r>
    </w:p>
    <w:p w14:paraId="0BBDD37B" w14:textId="7DFF092E" w:rsidR="000513BB" w:rsidRPr="007A2034" w:rsidRDefault="00762460" w:rsidP="008274C9">
      <w:pPr>
        <w:autoSpaceDE w:val="0"/>
        <w:autoSpaceDN w:val="0"/>
        <w:adjustRightInd w:val="0"/>
        <w:spacing w:before="120" w:after="120" w:line="240" w:lineRule="auto"/>
        <w:ind w:firstLine="567"/>
        <w:jc w:val="both"/>
        <w:rPr>
          <w:rFonts w:ascii="Times New Roman" w:hAnsi="Times New Roman"/>
          <w:bCs/>
          <w:iCs/>
          <w:sz w:val="24"/>
          <w:szCs w:val="24"/>
        </w:rPr>
      </w:pPr>
      <w:r w:rsidRPr="007A2034">
        <w:rPr>
          <w:rFonts w:ascii="Times New Roman" w:hAnsi="Times New Roman"/>
          <w:b/>
          <w:bCs/>
          <w:i/>
          <w:iCs/>
          <w:sz w:val="24"/>
          <w:szCs w:val="24"/>
        </w:rPr>
        <w:t>Решение о выпуске</w:t>
      </w:r>
      <w:r w:rsidRPr="007A2034">
        <w:rPr>
          <w:rFonts w:ascii="Times New Roman" w:hAnsi="Times New Roman"/>
          <w:b/>
          <w:bCs/>
          <w:i/>
          <w:iCs/>
        </w:rPr>
        <w:t xml:space="preserve"> </w:t>
      </w:r>
      <w:r w:rsidR="009F6BE5" w:rsidRPr="007A2034">
        <w:rPr>
          <w:rFonts w:ascii="Times New Roman" w:hAnsi="Times New Roman"/>
          <w:bCs/>
          <w:iCs/>
          <w:sz w:val="24"/>
          <w:szCs w:val="24"/>
        </w:rPr>
        <w:t xml:space="preserve">– </w:t>
      </w:r>
      <w:r w:rsidRPr="007A2034">
        <w:rPr>
          <w:rFonts w:ascii="Times New Roman" w:hAnsi="Times New Roman"/>
          <w:bCs/>
          <w:iCs/>
          <w:sz w:val="24"/>
          <w:szCs w:val="24"/>
        </w:rPr>
        <w:t xml:space="preserve">настоящее Решение о выпуске биржевых облигаций в рамках Программы </w:t>
      </w:r>
      <w:r w:rsidR="008C6050" w:rsidRPr="007A2034">
        <w:rPr>
          <w:rFonts w:ascii="Times New Roman" w:hAnsi="Times New Roman"/>
          <w:bCs/>
          <w:iCs/>
          <w:sz w:val="24"/>
          <w:szCs w:val="24"/>
        </w:rPr>
        <w:t>б</w:t>
      </w:r>
      <w:r w:rsidRPr="007A2034">
        <w:rPr>
          <w:rFonts w:ascii="Times New Roman" w:hAnsi="Times New Roman"/>
          <w:bCs/>
          <w:iCs/>
          <w:sz w:val="24"/>
          <w:szCs w:val="24"/>
        </w:rPr>
        <w:t>иржевых облигаций, документ, содержащий конкретные условия настоящего выпуска Биржевых облигаций, размещаемого в рамках Программы</w:t>
      </w:r>
      <w:r w:rsidR="009F6BE5" w:rsidRPr="007A2034">
        <w:rPr>
          <w:rFonts w:ascii="Times New Roman" w:hAnsi="Times New Roman"/>
          <w:bCs/>
          <w:iCs/>
          <w:sz w:val="24"/>
          <w:szCs w:val="24"/>
        </w:rPr>
        <w:t>;</w:t>
      </w:r>
    </w:p>
    <w:p w14:paraId="77F4F3EE" w14:textId="19F16041" w:rsidR="000513BB" w:rsidRPr="007A2034" w:rsidRDefault="000513BB" w:rsidP="008274C9">
      <w:pPr>
        <w:widowControl w:val="0"/>
        <w:spacing w:after="0" w:line="240" w:lineRule="auto"/>
        <w:ind w:firstLine="567"/>
        <w:jc w:val="both"/>
        <w:rPr>
          <w:rFonts w:ascii="Times New Roman" w:hAnsi="Times New Roman"/>
          <w:bCs/>
          <w:i/>
          <w:iCs/>
        </w:rPr>
      </w:pPr>
      <w:r w:rsidRPr="007A2034">
        <w:rPr>
          <w:rFonts w:ascii="Times New Roman" w:hAnsi="Times New Roman"/>
          <w:b/>
          <w:bCs/>
          <w:i/>
          <w:iCs/>
          <w:sz w:val="24"/>
          <w:szCs w:val="24"/>
        </w:rPr>
        <w:t>Условия размещения</w:t>
      </w:r>
      <w:r w:rsidRPr="007A2034">
        <w:rPr>
          <w:rFonts w:ascii="Times New Roman" w:hAnsi="Times New Roman"/>
          <w:bCs/>
          <w:i/>
          <w:iCs/>
        </w:rPr>
        <w:t xml:space="preserve"> </w:t>
      </w:r>
      <w:r w:rsidRPr="007A2034">
        <w:rPr>
          <w:rFonts w:ascii="Times New Roman" w:hAnsi="Times New Roman"/>
          <w:bCs/>
          <w:iCs/>
          <w:sz w:val="24"/>
          <w:szCs w:val="24"/>
        </w:rPr>
        <w:t>– документ, содержащий условия размещения Биржевых облигаций</w:t>
      </w:r>
      <w:r w:rsidR="009F6BE5" w:rsidRPr="007A2034">
        <w:rPr>
          <w:rFonts w:ascii="Times New Roman" w:hAnsi="Times New Roman"/>
          <w:bCs/>
          <w:iCs/>
          <w:sz w:val="24"/>
          <w:szCs w:val="24"/>
        </w:rPr>
        <w:t>;</w:t>
      </w:r>
    </w:p>
    <w:p w14:paraId="78E8135F" w14:textId="77777777" w:rsidR="002070D7" w:rsidRPr="007A2034" w:rsidRDefault="002070D7" w:rsidP="002070D7">
      <w:pPr>
        <w:autoSpaceDE w:val="0"/>
        <w:autoSpaceDN w:val="0"/>
        <w:adjustRightInd w:val="0"/>
        <w:spacing w:before="120" w:after="120" w:line="240" w:lineRule="auto"/>
        <w:ind w:firstLine="567"/>
        <w:jc w:val="both"/>
        <w:rPr>
          <w:rFonts w:ascii="Times New Roman" w:hAnsi="Times New Roman"/>
          <w:bCs/>
          <w:i/>
          <w:iCs/>
        </w:rPr>
      </w:pPr>
      <w:r w:rsidRPr="007A2034">
        <w:rPr>
          <w:rFonts w:ascii="Times New Roman" w:hAnsi="Times New Roman"/>
          <w:b/>
          <w:bCs/>
          <w:i/>
          <w:iCs/>
          <w:sz w:val="24"/>
          <w:szCs w:val="24"/>
        </w:rPr>
        <w:t>Выпуск</w:t>
      </w:r>
      <w:r w:rsidRPr="007A2034">
        <w:rPr>
          <w:rFonts w:ascii="Times New Roman" w:hAnsi="Times New Roman"/>
          <w:b/>
          <w:bCs/>
          <w:iCs/>
          <w:sz w:val="24"/>
          <w:szCs w:val="24"/>
        </w:rPr>
        <w:t xml:space="preserve"> </w:t>
      </w:r>
      <w:r w:rsidRPr="007A2034">
        <w:rPr>
          <w:rFonts w:ascii="Times New Roman" w:hAnsi="Times New Roman"/>
          <w:bCs/>
          <w:iCs/>
          <w:sz w:val="24"/>
          <w:szCs w:val="24"/>
        </w:rPr>
        <w:t>– отдельный выпуск биржевых облигаций, размещаемых в рамках Программы и в соответствии с настоящим Решением о выпуске;</w:t>
      </w:r>
    </w:p>
    <w:p w14:paraId="1E05F991" w14:textId="1530562C" w:rsidR="002070D7" w:rsidRPr="007A2034" w:rsidRDefault="002070D7" w:rsidP="002070D7">
      <w:pPr>
        <w:autoSpaceDE w:val="0"/>
        <w:autoSpaceDN w:val="0"/>
        <w:adjustRightInd w:val="0"/>
        <w:spacing w:before="120" w:after="120" w:line="240" w:lineRule="auto"/>
        <w:ind w:firstLine="567"/>
        <w:jc w:val="both"/>
        <w:rPr>
          <w:rFonts w:ascii="Times New Roman" w:hAnsi="Times New Roman"/>
          <w:b/>
          <w:bCs/>
          <w:iCs/>
          <w:sz w:val="24"/>
          <w:szCs w:val="24"/>
        </w:rPr>
      </w:pPr>
      <w:r w:rsidRPr="007A2034">
        <w:rPr>
          <w:rFonts w:ascii="Times New Roman" w:hAnsi="Times New Roman"/>
          <w:b/>
          <w:bCs/>
          <w:i/>
          <w:iCs/>
          <w:sz w:val="24"/>
          <w:szCs w:val="24"/>
        </w:rPr>
        <w:t>Биржевая облигация или Биржевая облигация выпуска</w:t>
      </w:r>
      <w:r w:rsidRPr="007A2034">
        <w:rPr>
          <w:rFonts w:ascii="Times New Roman" w:hAnsi="Times New Roman"/>
          <w:bCs/>
          <w:iCs/>
          <w:sz w:val="24"/>
          <w:szCs w:val="24"/>
        </w:rPr>
        <w:t xml:space="preserve"> – биржевая облигация, размещаемая в рамках настоящего Выпуска;</w:t>
      </w:r>
    </w:p>
    <w:p w14:paraId="7205F91B" w14:textId="7EF7F744" w:rsidR="00B97F78" w:rsidRPr="007A2034" w:rsidRDefault="00B97F78" w:rsidP="008274C9">
      <w:pPr>
        <w:autoSpaceDE w:val="0"/>
        <w:autoSpaceDN w:val="0"/>
        <w:adjustRightInd w:val="0"/>
        <w:spacing w:before="120" w:after="120" w:line="240" w:lineRule="auto"/>
        <w:ind w:firstLine="567"/>
        <w:jc w:val="both"/>
        <w:rPr>
          <w:rFonts w:ascii="Times New Roman" w:hAnsi="Times New Roman"/>
          <w:bCs/>
          <w:iCs/>
          <w:sz w:val="24"/>
          <w:szCs w:val="24"/>
        </w:rPr>
      </w:pPr>
      <w:r w:rsidRPr="007A2034">
        <w:rPr>
          <w:rFonts w:ascii="Times New Roman" w:hAnsi="Times New Roman"/>
          <w:b/>
          <w:bCs/>
          <w:i/>
          <w:iCs/>
          <w:sz w:val="24"/>
          <w:szCs w:val="24"/>
        </w:rPr>
        <w:t>Эмитент</w:t>
      </w:r>
      <w:r w:rsidRPr="007A2034">
        <w:rPr>
          <w:rFonts w:ascii="Times New Roman" w:hAnsi="Times New Roman"/>
          <w:b/>
          <w:bCs/>
          <w:iCs/>
          <w:sz w:val="24"/>
          <w:szCs w:val="24"/>
        </w:rPr>
        <w:t xml:space="preserve"> </w:t>
      </w:r>
      <w:r w:rsidR="000513BB" w:rsidRPr="007A2034">
        <w:rPr>
          <w:rFonts w:ascii="Times New Roman" w:hAnsi="Times New Roman"/>
          <w:bCs/>
          <w:iCs/>
          <w:sz w:val="24"/>
          <w:szCs w:val="24"/>
        </w:rPr>
        <w:t xml:space="preserve">означает Банк ВТБ (публичное акционерное общество), сокращенно </w:t>
      </w:r>
      <w:r w:rsidR="008C6050" w:rsidRPr="007A2034">
        <w:rPr>
          <w:rFonts w:ascii="Times New Roman" w:hAnsi="Times New Roman"/>
          <w:bCs/>
          <w:iCs/>
          <w:sz w:val="24"/>
          <w:szCs w:val="24"/>
        </w:rPr>
        <w:t>–</w:t>
      </w:r>
      <w:r w:rsidR="000513BB" w:rsidRPr="007A2034">
        <w:rPr>
          <w:rFonts w:ascii="Times New Roman" w:hAnsi="Times New Roman"/>
          <w:bCs/>
          <w:iCs/>
          <w:sz w:val="24"/>
          <w:szCs w:val="24"/>
        </w:rPr>
        <w:t xml:space="preserve"> Банк</w:t>
      </w:r>
      <w:r w:rsidR="00C630FF" w:rsidRPr="007A2034">
        <w:rPr>
          <w:rFonts w:ascii="Times New Roman" w:hAnsi="Times New Roman"/>
          <w:bCs/>
          <w:iCs/>
          <w:sz w:val="24"/>
          <w:szCs w:val="24"/>
        </w:rPr>
        <w:t> </w:t>
      </w:r>
      <w:r w:rsidR="000513BB" w:rsidRPr="007A2034">
        <w:rPr>
          <w:rFonts w:ascii="Times New Roman" w:hAnsi="Times New Roman"/>
          <w:bCs/>
          <w:iCs/>
          <w:sz w:val="24"/>
          <w:szCs w:val="24"/>
        </w:rPr>
        <w:t>ВТБ (ПАО)</w:t>
      </w:r>
      <w:r w:rsidR="009F6BE5" w:rsidRPr="007A2034">
        <w:rPr>
          <w:rFonts w:ascii="Times New Roman" w:hAnsi="Times New Roman"/>
          <w:bCs/>
          <w:iCs/>
          <w:sz w:val="24"/>
          <w:szCs w:val="24"/>
        </w:rPr>
        <w:t>;</w:t>
      </w:r>
    </w:p>
    <w:p w14:paraId="01AB43B6" w14:textId="259F0E5C" w:rsidR="004633CD" w:rsidRPr="007A2034" w:rsidRDefault="004633CD" w:rsidP="008274C9">
      <w:pPr>
        <w:autoSpaceDE w:val="0"/>
        <w:autoSpaceDN w:val="0"/>
        <w:adjustRightInd w:val="0"/>
        <w:spacing w:before="120" w:after="120" w:line="240" w:lineRule="auto"/>
        <w:ind w:firstLine="567"/>
        <w:jc w:val="both"/>
        <w:rPr>
          <w:rFonts w:ascii="Times New Roman" w:hAnsi="Times New Roman"/>
          <w:bCs/>
          <w:iCs/>
          <w:sz w:val="24"/>
          <w:szCs w:val="24"/>
        </w:rPr>
      </w:pPr>
      <w:r w:rsidRPr="007A2034">
        <w:rPr>
          <w:rFonts w:ascii="Times New Roman" w:eastAsia="Times New Roman" w:hAnsi="Times New Roman" w:cs="Times New Roman"/>
          <w:b/>
          <w:bCs/>
          <w:i/>
          <w:iCs/>
          <w:sz w:val="24"/>
          <w:szCs w:val="24"/>
        </w:rPr>
        <w:t>Календарная дата</w:t>
      </w:r>
      <w:r w:rsidRPr="007A2034">
        <w:rPr>
          <w:rFonts w:ascii="Times New Roman" w:eastAsia="Times New Roman" w:hAnsi="Times New Roman" w:cs="Times New Roman"/>
          <w:bCs/>
          <w:iCs/>
          <w:sz w:val="24"/>
          <w:szCs w:val="24"/>
        </w:rPr>
        <w:t xml:space="preserve"> – одинаковое календарное число разных месяцев (например, 10 января, 10 февраля, 10 марта и т.д.), соответствующее дате начала размещения Биржевых облигаций.</w:t>
      </w:r>
    </w:p>
    <w:p w14:paraId="5F441467" w14:textId="78699069" w:rsidR="00B97F78" w:rsidRPr="007A2034" w:rsidRDefault="00B97F78" w:rsidP="00EA6519">
      <w:pPr>
        <w:autoSpaceDE w:val="0"/>
        <w:autoSpaceDN w:val="0"/>
        <w:adjustRightInd w:val="0"/>
        <w:spacing w:before="120" w:after="120" w:line="240" w:lineRule="auto"/>
        <w:ind w:firstLine="539"/>
        <w:jc w:val="both"/>
        <w:rPr>
          <w:rFonts w:ascii="Times New Roman" w:hAnsi="Times New Roman"/>
          <w:bCs/>
          <w:iCs/>
          <w:sz w:val="24"/>
          <w:szCs w:val="24"/>
        </w:rPr>
      </w:pPr>
      <w:r w:rsidRPr="007A2034">
        <w:rPr>
          <w:rFonts w:ascii="Times New Roman" w:hAnsi="Times New Roman"/>
          <w:bCs/>
          <w:iCs/>
          <w:sz w:val="24"/>
          <w:szCs w:val="24"/>
        </w:rPr>
        <w:t xml:space="preserve">Иные термины, указанные с заглавной буквы и не определенные в </w:t>
      </w:r>
      <w:r w:rsidR="006761C4" w:rsidRPr="007A2034">
        <w:rPr>
          <w:rFonts w:ascii="Times New Roman" w:hAnsi="Times New Roman"/>
          <w:bCs/>
          <w:iCs/>
          <w:sz w:val="24"/>
          <w:szCs w:val="24"/>
        </w:rPr>
        <w:t>настоящем Решении о выпуске</w:t>
      </w:r>
      <w:r w:rsidRPr="007A2034">
        <w:rPr>
          <w:rFonts w:ascii="Times New Roman" w:hAnsi="Times New Roman"/>
          <w:bCs/>
          <w:iCs/>
          <w:sz w:val="24"/>
          <w:szCs w:val="24"/>
        </w:rPr>
        <w:t>, имеют значения, определенные в Программе.</w:t>
      </w:r>
    </w:p>
    <w:p w14:paraId="63D6D5C1" w14:textId="31E088DB" w:rsidR="008A3512" w:rsidRPr="007A2034" w:rsidRDefault="008A3512" w:rsidP="008274C9">
      <w:pPr>
        <w:autoSpaceDE w:val="0"/>
        <w:autoSpaceDN w:val="0"/>
        <w:adjustRightInd w:val="0"/>
        <w:spacing w:before="120" w:after="240" w:line="240" w:lineRule="auto"/>
        <w:ind w:firstLine="539"/>
        <w:jc w:val="both"/>
        <w:rPr>
          <w:rFonts w:ascii="Times New Roman" w:hAnsi="Times New Roman"/>
          <w:bCs/>
          <w:iCs/>
          <w:sz w:val="24"/>
          <w:szCs w:val="24"/>
        </w:rPr>
      </w:pPr>
      <w:r w:rsidRPr="007A2034">
        <w:rPr>
          <w:rFonts w:ascii="Times New Roman" w:hAnsi="Times New Roman"/>
          <w:bCs/>
          <w:iCs/>
          <w:sz w:val="24"/>
          <w:szCs w:val="24"/>
        </w:rPr>
        <w:t xml:space="preserve">Во всех случаях, когда настоящее Решение о выпуске содержит отсылки к отдельным пунктам Программы или к Программе в целом, положения Программы применяются в соответствии с пп. 5 п. 17 Программы с учетом изменившихся императивных требований законодательства Российской Федерации в связи с изменениями, внесенными в действующее законодательство Российской Федерации на основании Федерального закона от 27.12.2018 </w:t>
      </w:r>
      <w:r w:rsidRPr="007A2034">
        <w:rPr>
          <w:rFonts w:ascii="Times New Roman" w:hAnsi="Times New Roman"/>
          <w:bCs/>
          <w:iCs/>
          <w:sz w:val="24"/>
          <w:szCs w:val="24"/>
          <w:lang w:val="en-US"/>
        </w:rPr>
        <w:t>N</w:t>
      </w:r>
      <w:r w:rsidR="00133EE7" w:rsidRPr="007A2034">
        <w:rPr>
          <w:rFonts w:ascii="Times New Roman" w:hAnsi="Times New Roman"/>
          <w:bCs/>
          <w:iCs/>
          <w:sz w:val="24"/>
          <w:szCs w:val="24"/>
        </w:rPr>
        <w:t> </w:t>
      </w:r>
      <w:r w:rsidRPr="007A2034">
        <w:rPr>
          <w:rFonts w:ascii="Times New Roman" w:hAnsi="Times New Roman"/>
          <w:bCs/>
          <w:iCs/>
          <w:sz w:val="24"/>
          <w:szCs w:val="24"/>
        </w:rPr>
        <w:t xml:space="preserve">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 В том числе, к Биржевым облигациям не применимы положения Программы о документарных ценных бумагах и сертификатах ценных бумаг; вместо Условий выпуска, предусмотренных Программой, в соответствии с Федеральным законом от 22.04.1996 № 39-ФЗ «О рынке ценных бумаг» в отношении Биржевых облигаций </w:t>
      </w:r>
      <w:r w:rsidR="00C630FF" w:rsidRPr="007A2034">
        <w:rPr>
          <w:rFonts w:ascii="Times New Roman" w:hAnsi="Times New Roman"/>
          <w:bCs/>
          <w:iCs/>
          <w:sz w:val="24"/>
          <w:szCs w:val="24"/>
        </w:rPr>
        <w:t>составляе</w:t>
      </w:r>
      <w:r w:rsidRPr="007A2034">
        <w:rPr>
          <w:rFonts w:ascii="Times New Roman" w:hAnsi="Times New Roman"/>
          <w:bCs/>
          <w:iCs/>
          <w:sz w:val="24"/>
          <w:szCs w:val="24"/>
        </w:rPr>
        <w:t>тся</w:t>
      </w:r>
      <w:r w:rsidR="00EA6519" w:rsidRPr="007A2034">
        <w:rPr>
          <w:rFonts w:ascii="Times New Roman" w:hAnsi="Times New Roman"/>
          <w:bCs/>
          <w:iCs/>
          <w:sz w:val="24"/>
          <w:szCs w:val="24"/>
        </w:rPr>
        <w:t xml:space="preserve"> Решение о выпуске </w:t>
      </w:r>
      <w:r w:rsidRPr="007A2034">
        <w:rPr>
          <w:rFonts w:ascii="Times New Roman" w:hAnsi="Times New Roman"/>
          <w:bCs/>
          <w:iCs/>
          <w:sz w:val="24"/>
          <w:szCs w:val="24"/>
        </w:rPr>
        <w:t>и Условия размещения.</w:t>
      </w:r>
    </w:p>
    <w:p w14:paraId="37DC8DF2" w14:textId="77777777" w:rsidR="00A67368" w:rsidRPr="007A2034" w:rsidRDefault="00A67368" w:rsidP="00B97F78">
      <w:pPr>
        <w:autoSpaceDE w:val="0"/>
        <w:autoSpaceDN w:val="0"/>
        <w:adjustRightInd w:val="0"/>
        <w:spacing w:before="120" w:after="120" w:line="240" w:lineRule="auto"/>
        <w:ind w:firstLine="540"/>
        <w:jc w:val="both"/>
        <w:rPr>
          <w:rFonts w:ascii="Times New Roman" w:hAnsi="Times New Roman"/>
          <w:b/>
          <w:bCs/>
          <w:iCs/>
          <w:sz w:val="24"/>
          <w:szCs w:val="24"/>
        </w:rPr>
      </w:pPr>
    </w:p>
    <w:p w14:paraId="51CF8C35" w14:textId="3C868D50" w:rsidR="00B97F78" w:rsidRPr="007A2034" w:rsidRDefault="00B97F78"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1. Вид</w:t>
      </w:r>
      <w:r w:rsidR="003D436E" w:rsidRPr="007A2034">
        <w:rPr>
          <w:rFonts w:ascii="Times New Roman" w:hAnsi="Times New Roman"/>
          <w:b/>
          <w:bCs/>
          <w:iCs/>
          <w:sz w:val="24"/>
          <w:szCs w:val="24"/>
        </w:rPr>
        <w:t>, категория (тип)</w:t>
      </w:r>
      <w:r w:rsidR="00D0566B" w:rsidRPr="007A2034">
        <w:rPr>
          <w:rFonts w:ascii="Times New Roman" w:hAnsi="Times New Roman"/>
          <w:b/>
          <w:bCs/>
          <w:iCs/>
          <w:sz w:val="24"/>
          <w:szCs w:val="24"/>
        </w:rPr>
        <w:t>, идентификационные признаки</w:t>
      </w:r>
      <w:r w:rsidRPr="007A2034">
        <w:rPr>
          <w:rFonts w:ascii="Times New Roman" w:hAnsi="Times New Roman"/>
          <w:b/>
          <w:bCs/>
          <w:iCs/>
          <w:sz w:val="24"/>
          <w:szCs w:val="24"/>
        </w:rPr>
        <w:t xml:space="preserve"> ценных бумаг</w:t>
      </w:r>
    </w:p>
    <w:p w14:paraId="73786539" w14:textId="5C7D1E8D" w:rsidR="00B97F78" w:rsidRPr="007A2034" w:rsidRDefault="00B97F78" w:rsidP="00D0566B">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Вид ценных бумаг: </w:t>
      </w:r>
      <w:r w:rsidRPr="007A2034">
        <w:rPr>
          <w:rFonts w:ascii="Times New Roman" w:hAnsi="Times New Roman"/>
          <w:b/>
          <w:bCs/>
          <w:i/>
          <w:iCs/>
          <w:sz w:val="24"/>
          <w:szCs w:val="24"/>
        </w:rPr>
        <w:t>биржевые облигации</w:t>
      </w:r>
      <w:r w:rsidR="000513BB" w:rsidRPr="007A2034">
        <w:rPr>
          <w:rFonts w:ascii="Times New Roman" w:hAnsi="Times New Roman"/>
          <w:b/>
          <w:bCs/>
          <w:i/>
          <w:iCs/>
          <w:sz w:val="24"/>
          <w:szCs w:val="24"/>
        </w:rPr>
        <w:t>.</w:t>
      </w:r>
    </w:p>
    <w:p w14:paraId="6CD02B0C" w14:textId="7A669825" w:rsidR="00B97F78" w:rsidRPr="007A2034" w:rsidRDefault="00B97F78" w:rsidP="00D0566B">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Иные идентификационные признаки облигаций выпуска: </w:t>
      </w:r>
      <w:r w:rsidR="000513BB" w:rsidRPr="007A2034">
        <w:rPr>
          <w:rFonts w:ascii="Times New Roman" w:hAnsi="Times New Roman"/>
          <w:b/>
          <w:bCs/>
          <w:i/>
          <w:iCs/>
          <w:sz w:val="24"/>
          <w:szCs w:val="24"/>
        </w:rPr>
        <w:t>биржевые облигации процентные неконвертируемые бездокументарные с централизованным учетом прав, размещаемые в рамках Программы биржевых облигаций</w:t>
      </w:r>
      <w:r w:rsidR="000513BB" w:rsidRPr="007A2034">
        <w:rPr>
          <w:rFonts w:ascii="Times New Roman" w:hAnsi="Times New Roman"/>
          <w:bCs/>
          <w:iCs/>
          <w:sz w:val="24"/>
          <w:szCs w:val="24"/>
        </w:rPr>
        <w:t>.</w:t>
      </w:r>
    </w:p>
    <w:p w14:paraId="0D058E65" w14:textId="0A6FC818" w:rsidR="00D0566B" w:rsidRPr="007A2034" w:rsidRDefault="00D0566B" w:rsidP="00D0566B">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Серия облигаций выпуска: </w:t>
      </w:r>
      <w:r w:rsidRPr="007A2034">
        <w:rPr>
          <w:rFonts w:ascii="Times New Roman" w:hAnsi="Times New Roman"/>
          <w:b/>
          <w:bCs/>
          <w:i/>
          <w:iCs/>
          <w:sz w:val="24"/>
          <w:szCs w:val="24"/>
        </w:rPr>
        <w:t>Б-1-</w:t>
      </w:r>
      <w:r w:rsidR="00512FD7" w:rsidRPr="007A2034">
        <w:rPr>
          <w:rFonts w:ascii="Times New Roman" w:hAnsi="Times New Roman"/>
          <w:b/>
          <w:bCs/>
          <w:i/>
          <w:iCs/>
          <w:sz w:val="24"/>
          <w:szCs w:val="24"/>
        </w:rPr>
        <w:t>2</w:t>
      </w:r>
      <w:r w:rsidR="004633CD" w:rsidRPr="007A2034">
        <w:rPr>
          <w:rFonts w:ascii="Times New Roman" w:hAnsi="Times New Roman"/>
          <w:b/>
          <w:bCs/>
          <w:i/>
          <w:iCs/>
          <w:sz w:val="24"/>
          <w:szCs w:val="24"/>
        </w:rPr>
        <w:t>85</w:t>
      </w:r>
      <w:r w:rsidRPr="007A2034">
        <w:rPr>
          <w:rFonts w:ascii="Times New Roman" w:hAnsi="Times New Roman"/>
          <w:b/>
          <w:bCs/>
          <w:i/>
          <w:iCs/>
          <w:sz w:val="24"/>
          <w:szCs w:val="24"/>
        </w:rPr>
        <w:t>.</w:t>
      </w:r>
    </w:p>
    <w:p w14:paraId="55884A3B" w14:textId="267A0F00" w:rsidR="00B97F78" w:rsidRPr="007A2034" w:rsidRDefault="00D0566B"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2</w:t>
      </w:r>
      <w:r w:rsidR="00B97F78" w:rsidRPr="007A2034">
        <w:rPr>
          <w:rFonts w:ascii="Times New Roman" w:hAnsi="Times New Roman"/>
          <w:b/>
          <w:bCs/>
          <w:iCs/>
          <w:sz w:val="24"/>
          <w:szCs w:val="24"/>
        </w:rPr>
        <w:t xml:space="preserve">. Указание на </w:t>
      </w:r>
      <w:r w:rsidRPr="007A2034">
        <w:rPr>
          <w:rFonts w:ascii="Times New Roman" w:hAnsi="Times New Roman"/>
          <w:b/>
          <w:bCs/>
          <w:iCs/>
          <w:sz w:val="24"/>
          <w:szCs w:val="24"/>
        </w:rPr>
        <w:t>способ учета прав на облигации</w:t>
      </w:r>
    </w:p>
    <w:p w14:paraId="5CF2AC8E" w14:textId="6BF4A7DD" w:rsidR="000513BB" w:rsidRPr="007A2034" w:rsidRDefault="000513BB" w:rsidP="00EA6519">
      <w:pPr>
        <w:autoSpaceDE w:val="0"/>
        <w:autoSpaceDN w:val="0"/>
        <w:adjustRightInd w:val="0"/>
        <w:spacing w:before="120" w:after="120" w:line="240" w:lineRule="auto"/>
        <w:ind w:firstLine="539"/>
        <w:jc w:val="both"/>
      </w:pPr>
      <w:r w:rsidRPr="007A2034">
        <w:rPr>
          <w:rFonts w:ascii="Times New Roman" w:hAnsi="Times New Roman"/>
          <w:sz w:val="24"/>
        </w:rPr>
        <w:t xml:space="preserve">В соответствии с Федеральным законом от 22.04.1996 № 39-ФЗ "О рынке ценных бумаг" предусмотрен централизованный учет прав на Биржевые облигации. </w:t>
      </w:r>
    </w:p>
    <w:p w14:paraId="64D2B660" w14:textId="77777777" w:rsidR="000513BB" w:rsidRPr="007A2034" w:rsidRDefault="000513BB" w:rsidP="000513BB">
      <w:pPr>
        <w:adjustRightInd w:val="0"/>
        <w:spacing w:after="0" w:line="240" w:lineRule="auto"/>
        <w:ind w:left="567"/>
        <w:jc w:val="both"/>
        <w:rPr>
          <w:rFonts w:ascii="Times New Roman" w:hAnsi="Times New Roman"/>
          <w:sz w:val="24"/>
        </w:rPr>
      </w:pPr>
      <w:r w:rsidRPr="007A2034">
        <w:rPr>
          <w:rFonts w:ascii="Times New Roman" w:hAnsi="Times New Roman"/>
          <w:sz w:val="24"/>
        </w:rPr>
        <w:t>Депозитарий, осуществляющий централизованный учет прав:</w:t>
      </w:r>
    </w:p>
    <w:p w14:paraId="02AB6535" w14:textId="77777777" w:rsidR="000513BB" w:rsidRPr="007A2034" w:rsidRDefault="000513BB" w:rsidP="000513BB">
      <w:pPr>
        <w:spacing w:after="0" w:line="240" w:lineRule="auto"/>
        <w:ind w:left="567"/>
        <w:jc w:val="both"/>
        <w:rPr>
          <w:rFonts w:ascii="Times New Roman" w:hAnsi="Times New Roman"/>
          <w:sz w:val="24"/>
        </w:rPr>
      </w:pPr>
      <w:r w:rsidRPr="007A2034">
        <w:rPr>
          <w:rFonts w:ascii="Times New Roman" w:hAnsi="Times New Roman"/>
          <w:sz w:val="24"/>
        </w:rPr>
        <w:t xml:space="preserve">Полное фирменное наименование: </w:t>
      </w:r>
      <w:r w:rsidRPr="007A2034">
        <w:rPr>
          <w:rFonts w:ascii="Times New Roman" w:hAnsi="Times New Roman"/>
          <w:b/>
          <w:i/>
          <w:sz w:val="24"/>
        </w:rPr>
        <w:t>Небанковская кредитная организация акционерное общество «Национальный расчетный депозитарий»</w:t>
      </w:r>
    </w:p>
    <w:p w14:paraId="0062CA42" w14:textId="679FAB3F" w:rsidR="000513BB" w:rsidRPr="007A2034" w:rsidRDefault="000513BB" w:rsidP="000513BB">
      <w:pPr>
        <w:spacing w:after="0" w:line="240" w:lineRule="auto"/>
        <w:ind w:left="567"/>
        <w:jc w:val="both"/>
        <w:rPr>
          <w:rFonts w:ascii="Times New Roman" w:hAnsi="Times New Roman"/>
          <w:b/>
          <w:bCs/>
          <w:i/>
          <w:iCs/>
          <w:sz w:val="24"/>
        </w:rPr>
      </w:pPr>
      <w:r w:rsidRPr="007A2034">
        <w:rPr>
          <w:rFonts w:ascii="Times New Roman" w:hAnsi="Times New Roman"/>
          <w:sz w:val="24"/>
        </w:rPr>
        <w:t xml:space="preserve">Место нахождения: </w:t>
      </w:r>
      <w:r w:rsidR="00B34A53" w:rsidRPr="007A2034">
        <w:rPr>
          <w:rFonts w:ascii="Times New Roman" w:hAnsi="Times New Roman"/>
          <w:b/>
          <w:bCs/>
          <w:i/>
          <w:iCs/>
          <w:sz w:val="24"/>
        </w:rPr>
        <w:t>Российская Федерация,</w:t>
      </w:r>
      <w:r w:rsidR="00B34A53" w:rsidRPr="007A2034">
        <w:rPr>
          <w:rFonts w:ascii="Times New Roman" w:hAnsi="Times New Roman"/>
          <w:sz w:val="24"/>
        </w:rPr>
        <w:t xml:space="preserve"> </w:t>
      </w:r>
      <w:r w:rsidRPr="007A2034">
        <w:rPr>
          <w:rFonts w:ascii="Times New Roman" w:hAnsi="Times New Roman"/>
          <w:b/>
          <w:bCs/>
          <w:i/>
          <w:iCs/>
          <w:sz w:val="24"/>
        </w:rPr>
        <w:t>город Москва</w:t>
      </w:r>
    </w:p>
    <w:p w14:paraId="07F1E028" w14:textId="77777777" w:rsidR="00834083" w:rsidRPr="007A2034" w:rsidRDefault="00834083" w:rsidP="00834083">
      <w:pPr>
        <w:spacing w:after="0" w:line="240" w:lineRule="auto"/>
        <w:ind w:firstLine="567"/>
        <w:jc w:val="both"/>
        <w:rPr>
          <w:rFonts w:ascii="Times New Roman" w:hAnsi="Times New Roman"/>
        </w:rPr>
      </w:pPr>
      <w:r w:rsidRPr="007A2034">
        <w:rPr>
          <w:rFonts w:ascii="Times New Roman" w:hAnsi="Times New Roman"/>
        </w:rPr>
        <w:t xml:space="preserve">ОГРН: </w:t>
      </w:r>
      <w:r w:rsidRPr="007A2034">
        <w:rPr>
          <w:rFonts w:ascii="Times New Roman" w:hAnsi="Times New Roman"/>
          <w:b/>
          <w:bCs/>
          <w:i/>
          <w:iCs/>
        </w:rPr>
        <w:t>1027739132563</w:t>
      </w:r>
    </w:p>
    <w:p w14:paraId="562DB8B4" w14:textId="5A6F8BDB" w:rsidR="00B97F78" w:rsidRPr="007A2034" w:rsidRDefault="00D0566B"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3</w:t>
      </w:r>
      <w:r w:rsidR="00B97F78" w:rsidRPr="007A2034">
        <w:rPr>
          <w:rFonts w:ascii="Times New Roman" w:hAnsi="Times New Roman"/>
          <w:b/>
          <w:bCs/>
          <w:iCs/>
          <w:sz w:val="24"/>
          <w:szCs w:val="24"/>
        </w:rPr>
        <w:t xml:space="preserve">. Номинальная стоимость каждой </w:t>
      </w:r>
      <w:r w:rsidR="003D436E" w:rsidRPr="007A2034">
        <w:rPr>
          <w:rFonts w:ascii="Times New Roman" w:hAnsi="Times New Roman"/>
          <w:b/>
          <w:bCs/>
          <w:iCs/>
          <w:sz w:val="24"/>
          <w:szCs w:val="24"/>
        </w:rPr>
        <w:t xml:space="preserve">ценной бумаги </w:t>
      </w:r>
      <w:r w:rsidR="00B97F78" w:rsidRPr="007A2034">
        <w:rPr>
          <w:rFonts w:ascii="Times New Roman" w:hAnsi="Times New Roman"/>
          <w:b/>
          <w:bCs/>
          <w:iCs/>
          <w:sz w:val="24"/>
          <w:szCs w:val="24"/>
        </w:rPr>
        <w:t xml:space="preserve">выпуска </w:t>
      </w:r>
    </w:p>
    <w:p w14:paraId="3313AC6E" w14:textId="214A2947" w:rsidR="00B97F78" w:rsidRPr="007A2034" w:rsidRDefault="00B97F78" w:rsidP="00B97F78">
      <w:pPr>
        <w:autoSpaceDE w:val="0"/>
        <w:autoSpaceDN w:val="0"/>
        <w:adjustRightInd w:val="0"/>
        <w:spacing w:before="120" w:after="120" w:line="240" w:lineRule="auto"/>
        <w:ind w:firstLine="540"/>
        <w:jc w:val="both"/>
        <w:rPr>
          <w:rFonts w:ascii="Times New Roman" w:hAnsi="Times New Roman"/>
          <w:b/>
          <w:bCs/>
          <w:i/>
          <w:iCs/>
          <w:sz w:val="24"/>
        </w:rPr>
      </w:pPr>
      <w:r w:rsidRPr="007A2034">
        <w:rPr>
          <w:rFonts w:ascii="Times New Roman" w:hAnsi="Times New Roman"/>
          <w:b/>
          <w:bCs/>
          <w:i/>
          <w:iCs/>
          <w:sz w:val="24"/>
          <w:szCs w:val="24"/>
        </w:rPr>
        <w:lastRenderedPageBreak/>
        <w:t xml:space="preserve">Номинальная стоимость каждой </w:t>
      </w:r>
      <w:r w:rsidR="00834083" w:rsidRPr="007A2034">
        <w:rPr>
          <w:rFonts w:ascii="Times New Roman" w:hAnsi="Times New Roman"/>
          <w:b/>
          <w:bCs/>
          <w:i/>
          <w:iCs/>
          <w:sz w:val="24"/>
          <w:szCs w:val="24"/>
        </w:rPr>
        <w:t>Биржевой облигации</w:t>
      </w:r>
      <w:r w:rsidRPr="007A2034">
        <w:rPr>
          <w:rFonts w:ascii="Times New Roman" w:hAnsi="Times New Roman"/>
          <w:b/>
          <w:bCs/>
          <w:i/>
          <w:iCs/>
          <w:sz w:val="24"/>
          <w:szCs w:val="24"/>
        </w:rPr>
        <w:t>:</w:t>
      </w:r>
      <w:r w:rsidRPr="007A2034">
        <w:rPr>
          <w:rFonts w:ascii="Times New Roman" w:hAnsi="Times New Roman"/>
          <w:bCs/>
          <w:iCs/>
          <w:sz w:val="24"/>
          <w:szCs w:val="24"/>
        </w:rPr>
        <w:t xml:space="preserve"> </w:t>
      </w:r>
      <w:r w:rsidRPr="007A2034">
        <w:rPr>
          <w:rFonts w:ascii="Times New Roman" w:hAnsi="Times New Roman"/>
          <w:b/>
          <w:bCs/>
          <w:i/>
          <w:iCs/>
          <w:sz w:val="24"/>
        </w:rPr>
        <w:t>1 000 (Одна тысяча) российских рублей.</w:t>
      </w:r>
    </w:p>
    <w:p w14:paraId="5F1DE3AE" w14:textId="6C583020" w:rsidR="00FA7700" w:rsidRPr="007A2034" w:rsidRDefault="00FA7700" w:rsidP="00B97F78">
      <w:pPr>
        <w:autoSpaceDE w:val="0"/>
        <w:autoSpaceDN w:val="0"/>
        <w:adjustRightInd w:val="0"/>
        <w:spacing w:before="120" w:after="120" w:line="240" w:lineRule="auto"/>
        <w:ind w:firstLine="540"/>
        <w:jc w:val="both"/>
        <w:rPr>
          <w:rFonts w:ascii="Times New Roman" w:hAnsi="Times New Roman"/>
          <w:b/>
          <w:bCs/>
          <w:i/>
          <w:iCs/>
          <w:sz w:val="24"/>
        </w:rPr>
      </w:pPr>
      <w:r w:rsidRPr="007A2034">
        <w:rPr>
          <w:rFonts w:ascii="Times New Roman" w:hAnsi="Times New Roman"/>
          <w:b/>
          <w:bCs/>
          <w:i/>
          <w:iCs/>
          <w:sz w:val="24"/>
        </w:rPr>
        <w:t>Индексация номинальной стоимости Биржевых облигаций не предусматривается.</w:t>
      </w:r>
    </w:p>
    <w:p w14:paraId="4ED1B37A" w14:textId="0244F49B" w:rsidR="00B97F78" w:rsidRPr="007A2034" w:rsidRDefault="00D0566B"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4</w:t>
      </w:r>
      <w:r w:rsidR="00B97F78" w:rsidRPr="007A2034">
        <w:rPr>
          <w:rFonts w:ascii="Times New Roman" w:hAnsi="Times New Roman"/>
          <w:b/>
          <w:bCs/>
          <w:iCs/>
          <w:sz w:val="24"/>
          <w:szCs w:val="24"/>
        </w:rPr>
        <w:t>. Права владельца каждой облигации выпуска</w:t>
      </w:r>
    </w:p>
    <w:p w14:paraId="126EDF2A" w14:textId="30D8A84A" w:rsidR="00321A3F" w:rsidRPr="007A2034" w:rsidRDefault="00D0566B" w:rsidP="00321A3F">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4</w:t>
      </w:r>
      <w:r w:rsidR="00321A3F" w:rsidRPr="007A2034">
        <w:rPr>
          <w:rFonts w:ascii="Times New Roman" w:hAnsi="Times New Roman"/>
          <w:b/>
          <w:bCs/>
          <w:i/>
          <w:iCs/>
          <w:sz w:val="24"/>
          <w:szCs w:val="24"/>
        </w:rPr>
        <w:t>.</w:t>
      </w:r>
      <w:r w:rsidRPr="007A2034">
        <w:rPr>
          <w:rFonts w:ascii="Times New Roman" w:hAnsi="Times New Roman"/>
          <w:b/>
          <w:bCs/>
          <w:i/>
          <w:iCs/>
          <w:sz w:val="24"/>
          <w:szCs w:val="24"/>
        </w:rPr>
        <w:t>1</w:t>
      </w:r>
      <w:r w:rsidR="00321A3F" w:rsidRPr="007A2034">
        <w:rPr>
          <w:rFonts w:ascii="Times New Roman" w:hAnsi="Times New Roman"/>
          <w:b/>
          <w:bCs/>
          <w:i/>
          <w:iCs/>
          <w:sz w:val="24"/>
          <w:szCs w:val="24"/>
        </w:rPr>
        <w:t xml:space="preserve">. Для привилегированных акций указываются: </w:t>
      </w:r>
    </w:p>
    <w:p w14:paraId="25373A43" w14:textId="4273FF43" w:rsidR="00321A3F" w:rsidRPr="007A2034" w:rsidRDefault="00321A3F" w:rsidP="00321A3F">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привилегированными акциями.</w:t>
      </w:r>
    </w:p>
    <w:p w14:paraId="0A215408"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4.2. Для облигаций указываются:</w:t>
      </w:r>
    </w:p>
    <w:p w14:paraId="3BA17420"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Сведения, подлежащие указанию в настоящем пункте, приведены в п.7 Программы.</w:t>
      </w:r>
    </w:p>
    <w:p w14:paraId="3BF0B276"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4.2.1.  В случае предоставления обеспечения по облигациям выпуска:</w:t>
      </w:r>
    </w:p>
    <w:p w14:paraId="1BFB339C"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Не применимо. Предоставление обеспечения по Биржевым облигациям не предусмотрено. </w:t>
      </w:r>
    </w:p>
    <w:p w14:paraId="0EF799E1"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4.2.2. Для структурных облигаций:</w:t>
      </w:r>
    </w:p>
    <w:p w14:paraId="4BD6F4AD"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структурными облигациями.</w:t>
      </w:r>
    </w:p>
    <w:p w14:paraId="10756392"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4.2.3. Для облигаций без срока погашения:</w:t>
      </w:r>
    </w:p>
    <w:p w14:paraId="02799FE6"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облигациями без срока погашения.</w:t>
      </w:r>
    </w:p>
    <w:p w14:paraId="0EF7F574"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4.3. Для облигаций с ипотечным покрытием:</w:t>
      </w:r>
    </w:p>
    <w:p w14:paraId="59900DC7"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облигациями с ипотечным покрытием.</w:t>
      </w:r>
    </w:p>
    <w:p w14:paraId="066D6356"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 xml:space="preserve">4.4. Для опционов эмитента: </w:t>
      </w:r>
    </w:p>
    <w:p w14:paraId="2D889E21"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опционами.</w:t>
      </w:r>
    </w:p>
    <w:p w14:paraId="6D272131"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 xml:space="preserve">4.5. В случае если размещаемые ценные бумаги являются конвертируемыми ценными бумагами: </w:t>
      </w:r>
    </w:p>
    <w:p w14:paraId="11314067"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конвертируемыми.</w:t>
      </w:r>
    </w:p>
    <w:p w14:paraId="29805C9A"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 xml:space="preserve">4.6. В случае если размещаемые ценные бумаги являются ценными бумагами, предназначенными для квалифицированных инвесторов: </w:t>
      </w:r>
    </w:p>
    <w:p w14:paraId="1D318CB5" w14:textId="465ED806"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Не применимо. Размещаемые ценные бумаги не являются ценными бумагами, предназначенными для квалифицированных инвесторов.</w:t>
      </w:r>
    </w:p>
    <w:p w14:paraId="0614208D" w14:textId="392ADE70" w:rsidR="005305EC" w:rsidRPr="007A2034" w:rsidRDefault="005305EC" w:rsidP="00B61BE1">
      <w:pPr>
        <w:autoSpaceDE w:val="0"/>
        <w:autoSpaceDN w:val="0"/>
        <w:adjustRightInd w:val="0"/>
        <w:spacing w:before="220" w:after="120" w:line="240" w:lineRule="auto"/>
        <w:ind w:firstLine="539"/>
        <w:jc w:val="both"/>
        <w:rPr>
          <w:rFonts w:ascii="Times New Roman" w:hAnsi="Times New Roman" w:cs="Times New Roman"/>
          <w:b/>
          <w:i/>
          <w:sz w:val="24"/>
          <w:szCs w:val="24"/>
        </w:rPr>
      </w:pPr>
      <w:r w:rsidRPr="007A2034">
        <w:rPr>
          <w:rFonts w:ascii="Times New Roman" w:hAnsi="Times New Roman" w:cs="Times New Roman"/>
          <w:b/>
          <w:i/>
          <w:sz w:val="24"/>
          <w:szCs w:val="24"/>
        </w:rPr>
        <w:t>В случае если имеются иные ограничения в обороте ценных бумаг настоящего выпуска, указываются особенности, связанные с учетом и переходом прав на ценные бумаги настоящего выпуска:</w:t>
      </w:r>
    </w:p>
    <w:p w14:paraId="4D316F27" w14:textId="77777777" w:rsidR="005305EC" w:rsidRPr="007A2034" w:rsidRDefault="005305EC" w:rsidP="005305EC">
      <w:pPr>
        <w:autoSpaceDE w:val="0"/>
        <w:autoSpaceDN w:val="0"/>
        <w:adjustRightInd w:val="0"/>
        <w:spacing w:after="0" w:line="240" w:lineRule="auto"/>
        <w:ind w:firstLine="540"/>
        <w:jc w:val="both"/>
        <w:rPr>
          <w:rFonts w:ascii="Times New Roman" w:hAnsi="Times New Roman" w:cs="Times New Roman"/>
          <w:sz w:val="24"/>
          <w:szCs w:val="24"/>
        </w:rPr>
      </w:pPr>
      <w:r w:rsidRPr="007A2034">
        <w:rPr>
          <w:rFonts w:ascii="Times New Roman" w:hAnsi="Times New Roman" w:cs="Times New Roman"/>
          <w:sz w:val="24"/>
          <w:szCs w:val="24"/>
        </w:rPr>
        <w:t>Право на Биржевую облигацию переходит к приобретателю с даты внесения приходной записи по счету депо приобретателя.</w:t>
      </w:r>
    </w:p>
    <w:p w14:paraId="7C821244" w14:textId="77777777" w:rsidR="005305EC" w:rsidRPr="007A2034" w:rsidRDefault="005305EC" w:rsidP="005305EC">
      <w:pPr>
        <w:autoSpaceDE w:val="0"/>
        <w:autoSpaceDN w:val="0"/>
        <w:adjustRightInd w:val="0"/>
        <w:spacing w:after="0" w:line="240" w:lineRule="auto"/>
        <w:ind w:firstLine="540"/>
        <w:jc w:val="both"/>
        <w:rPr>
          <w:rFonts w:ascii="Times New Roman" w:hAnsi="Times New Roman" w:cs="Times New Roman"/>
          <w:sz w:val="24"/>
          <w:szCs w:val="24"/>
        </w:rPr>
      </w:pPr>
      <w:r w:rsidRPr="007A2034">
        <w:rPr>
          <w:rFonts w:ascii="Times New Roman" w:hAnsi="Times New Roman" w:cs="Times New Roman"/>
          <w:sz w:val="24"/>
          <w:szCs w:val="24"/>
        </w:rPr>
        <w:t>Права, закрепленные Биржевой облигацией, переходят к их приобретателю с даты перехода прав на эту ценную бумагу.</w:t>
      </w:r>
    </w:p>
    <w:p w14:paraId="3F922F54" w14:textId="2503B882" w:rsidR="005305EC" w:rsidRPr="007A2034" w:rsidRDefault="005305EC" w:rsidP="005305E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cs="Times New Roman"/>
          <w:sz w:val="24"/>
          <w:szCs w:val="24"/>
        </w:rPr>
        <w:t>Иные ограничения в обороте Биржевых облигаций не предусмотрены.</w:t>
      </w:r>
    </w:p>
    <w:p w14:paraId="3804B144" w14:textId="63837B55" w:rsidR="00B97F78" w:rsidRPr="007A2034" w:rsidRDefault="005909FC"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5</w:t>
      </w:r>
      <w:r w:rsidR="00B97F78" w:rsidRPr="007A2034">
        <w:rPr>
          <w:rFonts w:ascii="Times New Roman" w:hAnsi="Times New Roman"/>
          <w:b/>
          <w:bCs/>
          <w:iCs/>
          <w:sz w:val="24"/>
          <w:szCs w:val="24"/>
        </w:rPr>
        <w:t>. Порядок и условия погашения и выплаты доходов по облигациям</w:t>
      </w:r>
    </w:p>
    <w:p w14:paraId="271160C3" w14:textId="3E401647" w:rsidR="00B97F78" w:rsidRPr="007A2034" w:rsidRDefault="005909FC" w:rsidP="00B97F78">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w:t>
      </w:r>
      <w:r w:rsidR="00B97F78" w:rsidRPr="007A2034">
        <w:rPr>
          <w:rFonts w:ascii="Times New Roman" w:hAnsi="Times New Roman"/>
          <w:b/>
          <w:bCs/>
          <w:i/>
          <w:iCs/>
          <w:sz w:val="24"/>
          <w:szCs w:val="24"/>
        </w:rPr>
        <w:t>.1. Форма погашения облигаций</w:t>
      </w:r>
    </w:p>
    <w:p w14:paraId="60B9D142" w14:textId="07ECBB88" w:rsidR="00B97F78" w:rsidRPr="007A2034" w:rsidRDefault="00B97F78" w:rsidP="00B97F78">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Погашение Биржевых облигаций производится денежными средствами в рублях</w:t>
      </w:r>
      <w:r w:rsidR="00CA439E" w:rsidRPr="007A2034">
        <w:rPr>
          <w:rFonts w:ascii="Times New Roman" w:hAnsi="Times New Roman"/>
          <w:bCs/>
          <w:iCs/>
          <w:sz w:val="24"/>
          <w:szCs w:val="24"/>
        </w:rPr>
        <w:t xml:space="preserve"> Российской Федерации</w:t>
      </w:r>
      <w:r w:rsidRPr="007A2034">
        <w:rPr>
          <w:rFonts w:ascii="Times New Roman" w:hAnsi="Times New Roman"/>
          <w:bCs/>
          <w:iCs/>
          <w:sz w:val="24"/>
          <w:szCs w:val="24"/>
        </w:rPr>
        <w:t xml:space="preserve"> в безналичном порядке. Возможность выбора владельцами Биржевых облигаций формы погашения Биржевых облигаций не предусмотрена.</w:t>
      </w:r>
    </w:p>
    <w:p w14:paraId="233E5DF3" w14:textId="77777777" w:rsidR="00A67368" w:rsidRPr="007A2034" w:rsidRDefault="00A67368" w:rsidP="005909FC">
      <w:pPr>
        <w:autoSpaceDE w:val="0"/>
        <w:autoSpaceDN w:val="0"/>
        <w:adjustRightInd w:val="0"/>
        <w:spacing w:before="120" w:after="120" w:line="240" w:lineRule="auto"/>
        <w:ind w:firstLine="540"/>
        <w:jc w:val="both"/>
        <w:rPr>
          <w:rFonts w:ascii="Times New Roman" w:hAnsi="Times New Roman"/>
          <w:b/>
          <w:bCs/>
          <w:i/>
          <w:iCs/>
          <w:sz w:val="24"/>
          <w:szCs w:val="24"/>
        </w:rPr>
      </w:pPr>
    </w:p>
    <w:p w14:paraId="303CBB6B"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5.2. Срок погашения облигаций</w:t>
      </w:r>
    </w:p>
    <w:p w14:paraId="24EEC1C1" w14:textId="6B983BDE" w:rsidR="005909FC" w:rsidRPr="007A2034" w:rsidRDefault="005909FC" w:rsidP="005909F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Биржевые облигации погашаются по</w:t>
      </w:r>
      <w:r w:rsidR="003436BE" w:rsidRPr="007A2034">
        <w:rPr>
          <w:rFonts w:ascii="Times New Roman" w:hAnsi="Times New Roman"/>
          <w:bCs/>
          <w:iCs/>
          <w:sz w:val="24"/>
          <w:szCs w:val="24"/>
        </w:rPr>
        <w:t xml:space="preserve"> непогашенной части</w:t>
      </w:r>
      <w:r w:rsidRPr="007A2034">
        <w:rPr>
          <w:rFonts w:ascii="Times New Roman" w:hAnsi="Times New Roman"/>
          <w:bCs/>
          <w:iCs/>
          <w:sz w:val="24"/>
          <w:szCs w:val="24"/>
        </w:rPr>
        <w:t xml:space="preserve"> номинальной стоимости в </w:t>
      </w:r>
      <w:r w:rsidR="008E64B4" w:rsidRPr="007A2034">
        <w:rPr>
          <w:rFonts w:ascii="Times New Roman" w:hAnsi="Times New Roman"/>
          <w:bCs/>
          <w:iCs/>
          <w:sz w:val="24"/>
          <w:szCs w:val="24"/>
        </w:rPr>
        <w:t>547-й (Пятьсот сорок седьмой</w:t>
      </w:r>
      <w:r w:rsidR="00B1726C" w:rsidRPr="007A2034">
        <w:rPr>
          <w:rFonts w:ascii="Times New Roman" w:hAnsi="Times New Roman"/>
          <w:bCs/>
          <w:iCs/>
          <w:sz w:val="24"/>
          <w:szCs w:val="24"/>
        </w:rPr>
        <w:t>)</w:t>
      </w:r>
      <w:r w:rsidRPr="007A2034">
        <w:rPr>
          <w:rFonts w:ascii="Times New Roman" w:hAnsi="Times New Roman"/>
          <w:bCs/>
          <w:iCs/>
          <w:sz w:val="24"/>
          <w:szCs w:val="24"/>
        </w:rPr>
        <w:t xml:space="preserve"> день с даты начала размещения Биржевых облигаций. </w:t>
      </w:r>
    </w:p>
    <w:p w14:paraId="768BC055" w14:textId="77777777" w:rsidR="005909FC" w:rsidRPr="007A2034" w:rsidRDefault="005909FC" w:rsidP="00B1726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Даты начала и окончания погашения Биржевых облигаций выпуска совпадают.</w:t>
      </w:r>
    </w:p>
    <w:p w14:paraId="20AAE34C" w14:textId="21BEDD85" w:rsidR="003436BE" w:rsidRPr="007A2034" w:rsidRDefault="003436BE" w:rsidP="00B1726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Если Дата погашения Биржевых облигаций приходится на нерабочий праздничный или выходной день, независимо от того, будет ли это государственный выходной день или выходной день для расчетных операций, то перечисление надлежащей суммы производится в первый рабочий день, следующий за нерабочим праздничным или выходным днем. Владелец Биржевых облигаций не имеет права требовать начисления процентов или какой-либо иной компенсации за такую задержку в платеже.</w:t>
      </w:r>
    </w:p>
    <w:p w14:paraId="6A5E780F" w14:textId="77777777" w:rsidR="005909FC" w:rsidRPr="007A2034" w:rsidRDefault="005909FC" w:rsidP="005909FC">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5.3. Порядок и условия погашения облигаций</w:t>
      </w:r>
    </w:p>
    <w:p w14:paraId="479E4BFE" w14:textId="3593F022" w:rsidR="00B97F78" w:rsidRPr="007A2034" w:rsidRDefault="00B97F78" w:rsidP="00D650F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Выплата производится денежными средствами в рублях</w:t>
      </w:r>
      <w:r w:rsidR="002070D7" w:rsidRPr="007A2034">
        <w:rPr>
          <w:rFonts w:ascii="Times New Roman" w:hAnsi="Times New Roman"/>
          <w:bCs/>
          <w:iCs/>
          <w:sz w:val="24"/>
          <w:szCs w:val="24"/>
        </w:rPr>
        <w:t xml:space="preserve"> Российской Федерации</w:t>
      </w:r>
      <w:r w:rsidR="00017413" w:rsidRPr="007A2034">
        <w:rPr>
          <w:rFonts w:ascii="Times New Roman" w:hAnsi="Times New Roman"/>
          <w:bCs/>
          <w:iCs/>
          <w:sz w:val="24"/>
          <w:szCs w:val="24"/>
        </w:rPr>
        <w:t xml:space="preserve"> в безналичном порядке</w:t>
      </w:r>
      <w:r w:rsidRPr="007A2034">
        <w:rPr>
          <w:rFonts w:ascii="Times New Roman" w:hAnsi="Times New Roman"/>
          <w:bCs/>
          <w:iCs/>
          <w:sz w:val="24"/>
          <w:szCs w:val="24"/>
        </w:rPr>
        <w:t>.</w:t>
      </w:r>
    </w:p>
    <w:p w14:paraId="1ED62A8A" w14:textId="77777777" w:rsidR="005F3416" w:rsidRPr="007A2034" w:rsidRDefault="005F3416" w:rsidP="005F3416">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Биржевые облигации являются ценными бумагами с централизованным учетом прав. </w:t>
      </w:r>
    </w:p>
    <w:p w14:paraId="192AACC1" w14:textId="77777777" w:rsidR="00E209CC" w:rsidRPr="007A2034" w:rsidRDefault="00E209CC" w:rsidP="00E209CC">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Эмитент исполняет обязанность по осуществлению выплат по ценным бумагам, права на которые учитываются депозитарием, путем перечисления денежных средств депозитарию, осуществляющему централизованный учет прав на Биржевые облигации. </w:t>
      </w:r>
    </w:p>
    <w:p w14:paraId="44AA8A1A" w14:textId="3244E998" w:rsidR="00E209CC" w:rsidRPr="007A2034" w:rsidRDefault="00E209CC" w:rsidP="00E209CC">
      <w:pPr>
        <w:autoSpaceDE w:val="0"/>
        <w:autoSpaceDN w:val="0"/>
        <w:adjustRightInd w:val="0"/>
        <w:spacing w:before="120" w:after="120" w:line="240" w:lineRule="auto"/>
        <w:ind w:firstLine="540"/>
        <w:jc w:val="both"/>
        <w:rPr>
          <w:rFonts w:ascii="Times New Roman" w:hAnsi="Times New Roman"/>
          <w:bCs/>
          <w:iCs/>
          <w:strike/>
          <w:sz w:val="24"/>
          <w:szCs w:val="24"/>
        </w:rPr>
      </w:pPr>
      <w:r w:rsidRPr="007A2034">
        <w:rPr>
          <w:rFonts w:ascii="Times New Roman" w:hAnsi="Times New Roman"/>
          <w:bCs/>
          <w:iCs/>
          <w:sz w:val="24"/>
          <w:szCs w:val="24"/>
        </w:rPr>
        <w:t>Владельцы Биржевых облигаций и иные лица, осуществляющие в соответствии с федеральными законами права по Биржевым облигациям, получают причитающиеся им денежные выплаты в счет погашения Биржевых облигаций через депозитарий</w:t>
      </w:r>
      <w:r w:rsidR="003436BE" w:rsidRPr="007A2034">
        <w:rPr>
          <w:rFonts w:ascii="Times New Roman" w:hAnsi="Times New Roman"/>
          <w:bCs/>
          <w:iCs/>
          <w:sz w:val="24"/>
          <w:szCs w:val="24"/>
        </w:rPr>
        <w:t>, осуществляющий учет прав на Биржевые облигации</w:t>
      </w:r>
      <w:r w:rsidRPr="007A2034">
        <w:rPr>
          <w:rFonts w:ascii="Times New Roman" w:hAnsi="Times New Roman"/>
          <w:bCs/>
          <w:iCs/>
          <w:sz w:val="24"/>
          <w:szCs w:val="24"/>
        </w:rPr>
        <w:t>, депонентами которого они являются.</w:t>
      </w:r>
      <w:r w:rsidR="00EF66D0" w:rsidRPr="007A2034">
        <w:rPr>
          <w:rFonts w:ascii="Times New Roman" w:hAnsi="Times New Roman"/>
          <w:bCs/>
          <w:iCs/>
          <w:sz w:val="24"/>
          <w:szCs w:val="24"/>
        </w:rPr>
        <w:t xml:space="preserve"> Для получения выплат по Биржевым облигациям указанные лица должны иметь банковский счет в рублях</w:t>
      </w:r>
      <w:r w:rsidR="002070D7" w:rsidRPr="007A2034">
        <w:rPr>
          <w:rFonts w:ascii="Times New Roman" w:hAnsi="Times New Roman"/>
          <w:bCs/>
          <w:iCs/>
          <w:sz w:val="24"/>
          <w:szCs w:val="24"/>
        </w:rPr>
        <w:t xml:space="preserve"> Российской федерации</w:t>
      </w:r>
      <w:r w:rsidR="00EF66D0" w:rsidRPr="007A2034">
        <w:rPr>
          <w:rFonts w:ascii="Times New Roman" w:hAnsi="Times New Roman"/>
          <w:bCs/>
          <w:iCs/>
          <w:sz w:val="24"/>
          <w:szCs w:val="24"/>
        </w:rPr>
        <w:t>.</w:t>
      </w:r>
    </w:p>
    <w:p w14:paraId="6588A591" w14:textId="0DEEFFEB" w:rsidR="00EF66D0" w:rsidRPr="007A2034" w:rsidRDefault="00E209CC" w:rsidP="008B6F8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Передача денежных выплат в счет погашения Биржевых облигаций осуществляется депозитарием в соответствии с порядком, предусмотренным статьей 8.7. Федерального закона от 22.04.1996 N 39-ФЗ "О рынке ценных бумаг"</w:t>
      </w:r>
      <w:r w:rsidR="005B6071" w:rsidRPr="007A2034">
        <w:rPr>
          <w:rFonts w:ascii="Times New Roman" w:hAnsi="Times New Roman"/>
          <w:bCs/>
          <w:iCs/>
          <w:sz w:val="24"/>
          <w:szCs w:val="24"/>
        </w:rPr>
        <w:t>,</w:t>
      </w:r>
      <w:r w:rsidR="00D05F47" w:rsidRPr="007A2034">
        <w:rPr>
          <w:rFonts w:ascii="Times New Roman" w:hAnsi="Times New Roman" w:cs="Times New Roman"/>
          <w:sz w:val="24"/>
          <w:szCs w:val="24"/>
        </w:rPr>
        <w:t xml:space="preserve"> </w:t>
      </w:r>
      <w:r w:rsidR="00D05F47" w:rsidRPr="007A2034">
        <w:rPr>
          <w:rFonts w:ascii="Times New Roman" w:hAnsi="Times New Roman"/>
          <w:bCs/>
          <w:iCs/>
          <w:sz w:val="24"/>
          <w:szCs w:val="24"/>
        </w:rPr>
        <w:t xml:space="preserve">с особенностями в зависимости от способа учета прав на </w:t>
      </w:r>
      <w:r w:rsidR="00DF0041" w:rsidRPr="007A2034">
        <w:rPr>
          <w:rFonts w:ascii="Times New Roman" w:hAnsi="Times New Roman"/>
          <w:bCs/>
          <w:iCs/>
          <w:sz w:val="24"/>
          <w:szCs w:val="24"/>
        </w:rPr>
        <w:t xml:space="preserve">Биржевые </w:t>
      </w:r>
      <w:r w:rsidR="00D05F47" w:rsidRPr="007A2034">
        <w:rPr>
          <w:rFonts w:ascii="Times New Roman" w:hAnsi="Times New Roman"/>
          <w:bCs/>
          <w:iCs/>
          <w:sz w:val="24"/>
          <w:szCs w:val="24"/>
        </w:rPr>
        <w:t>облигации</w:t>
      </w:r>
      <w:r w:rsidRPr="007A2034">
        <w:rPr>
          <w:rFonts w:ascii="Times New Roman" w:hAnsi="Times New Roman"/>
          <w:bCs/>
          <w:iCs/>
          <w:sz w:val="24"/>
          <w:szCs w:val="24"/>
        </w:rPr>
        <w:t>.</w:t>
      </w:r>
    </w:p>
    <w:p w14:paraId="09C066D7" w14:textId="77777777" w:rsidR="008A3512" w:rsidRPr="007A2034" w:rsidRDefault="008A3512" w:rsidP="008A351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При погашении Биржевых облигаций выплачивается также купонный доход за последний купонный период. </w:t>
      </w:r>
    </w:p>
    <w:p w14:paraId="4D366A28" w14:textId="71F12398" w:rsidR="008A3512" w:rsidRPr="007A2034" w:rsidRDefault="008A3512" w:rsidP="008A351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Списание Биржевых облигаций со счетов депо при погашении производится после исполнения Эмитентом всех обязательств по погашению номинальной стоимости Биржевых облигаций и выплате купонного дохода по ним за все купонные периоды.</w:t>
      </w:r>
    </w:p>
    <w:p w14:paraId="75D4D7E4" w14:textId="2FF81FE3" w:rsidR="007818E9" w:rsidRPr="007A2034" w:rsidRDefault="008B6F89" w:rsidP="007818E9">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w:t>
      </w:r>
      <w:r w:rsidR="007818E9" w:rsidRPr="007A2034">
        <w:rPr>
          <w:rFonts w:ascii="Times New Roman" w:hAnsi="Times New Roman"/>
          <w:b/>
          <w:bCs/>
          <w:i/>
          <w:iCs/>
          <w:sz w:val="24"/>
          <w:szCs w:val="24"/>
        </w:rPr>
        <w:t>.</w:t>
      </w:r>
      <w:r w:rsidRPr="007A2034">
        <w:rPr>
          <w:rFonts w:ascii="Times New Roman" w:hAnsi="Times New Roman"/>
          <w:b/>
          <w:bCs/>
          <w:i/>
          <w:iCs/>
          <w:sz w:val="24"/>
          <w:szCs w:val="24"/>
        </w:rPr>
        <w:t>3</w:t>
      </w:r>
      <w:r w:rsidR="007818E9" w:rsidRPr="007A2034">
        <w:rPr>
          <w:rFonts w:ascii="Times New Roman" w:hAnsi="Times New Roman"/>
          <w:b/>
          <w:bCs/>
          <w:i/>
          <w:iCs/>
          <w:sz w:val="24"/>
          <w:szCs w:val="24"/>
        </w:rPr>
        <w:t xml:space="preserve">.1. Порядок определения выплат по каждой структурной облигации при ее погашении </w:t>
      </w:r>
    </w:p>
    <w:p w14:paraId="016B363A" w14:textId="160F7969" w:rsidR="007818E9" w:rsidRPr="007A2034" w:rsidRDefault="00017413" w:rsidP="007818E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Не применимо. </w:t>
      </w:r>
      <w:r w:rsidR="007818E9" w:rsidRPr="007A2034">
        <w:rPr>
          <w:rFonts w:ascii="Times New Roman" w:hAnsi="Times New Roman"/>
          <w:bCs/>
          <w:iCs/>
          <w:sz w:val="24"/>
          <w:szCs w:val="24"/>
        </w:rPr>
        <w:t>Биржевые облигации не являются структурными облигациями</w:t>
      </w:r>
      <w:r w:rsidR="00720275" w:rsidRPr="007A2034">
        <w:rPr>
          <w:rFonts w:ascii="Times New Roman" w:hAnsi="Times New Roman"/>
          <w:bCs/>
          <w:iCs/>
          <w:sz w:val="24"/>
          <w:szCs w:val="24"/>
        </w:rPr>
        <w:t>.</w:t>
      </w:r>
      <w:r w:rsidR="007818E9" w:rsidRPr="007A2034">
        <w:rPr>
          <w:rFonts w:ascii="Times New Roman" w:hAnsi="Times New Roman"/>
          <w:bCs/>
          <w:iCs/>
          <w:sz w:val="24"/>
          <w:szCs w:val="24"/>
        </w:rPr>
        <w:t xml:space="preserve"> </w:t>
      </w:r>
    </w:p>
    <w:p w14:paraId="090BEDDF" w14:textId="7A574235" w:rsidR="00B97F78" w:rsidRPr="007A2034" w:rsidRDefault="00F80588" w:rsidP="00B97F78">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w:t>
      </w:r>
      <w:r w:rsidR="00B97F78" w:rsidRPr="007A2034">
        <w:rPr>
          <w:rFonts w:ascii="Times New Roman" w:hAnsi="Times New Roman"/>
          <w:b/>
          <w:bCs/>
          <w:i/>
          <w:iCs/>
          <w:sz w:val="24"/>
          <w:szCs w:val="24"/>
        </w:rPr>
        <w:t>.</w:t>
      </w:r>
      <w:r w:rsidRPr="007A2034">
        <w:rPr>
          <w:rFonts w:ascii="Times New Roman" w:hAnsi="Times New Roman"/>
          <w:b/>
          <w:bCs/>
          <w:i/>
          <w:iCs/>
          <w:sz w:val="24"/>
          <w:szCs w:val="24"/>
        </w:rPr>
        <w:t>4</w:t>
      </w:r>
      <w:r w:rsidR="00B97F78" w:rsidRPr="007A2034">
        <w:rPr>
          <w:rFonts w:ascii="Times New Roman" w:hAnsi="Times New Roman"/>
          <w:b/>
          <w:bCs/>
          <w:i/>
          <w:iCs/>
          <w:sz w:val="24"/>
          <w:szCs w:val="24"/>
        </w:rPr>
        <w:t>. Порядок определения дохода, выплачиваемого по каждой облигации</w:t>
      </w:r>
    </w:p>
    <w:p w14:paraId="023D6C86" w14:textId="2CCFE051" w:rsidR="00B97F78" w:rsidRPr="007A2034" w:rsidRDefault="000C3B77" w:rsidP="00B97F78">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w:t>
      </w:r>
      <w:r w:rsidR="00B97F78" w:rsidRPr="007A2034">
        <w:rPr>
          <w:rFonts w:ascii="Times New Roman" w:hAnsi="Times New Roman"/>
          <w:bCs/>
          <w:iCs/>
          <w:sz w:val="24"/>
          <w:szCs w:val="24"/>
        </w:rPr>
        <w:t xml:space="preserve">оходом по Биржевым облигациям является сумма купонных доходов, начисляемых за каждый купонный период в виде процентов от </w:t>
      </w:r>
      <w:r w:rsidR="00EE3782" w:rsidRPr="007A2034">
        <w:rPr>
          <w:rFonts w:ascii="Times New Roman" w:hAnsi="Times New Roman"/>
          <w:bCs/>
          <w:iCs/>
          <w:sz w:val="24"/>
          <w:szCs w:val="24"/>
        </w:rPr>
        <w:t xml:space="preserve">непогашенной части </w:t>
      </w:r>
      <w:r w:rsidR="00B97F78" w:rsidRPr="007A2034">
        <w:rPr>
          <w:rFonts w:ascii="Times New Roman" w:hAnsi="Times New Roman"/>
          <w:bCs/>
          <w:iCs/>
          <w:sz w:val="24"/>
          <w:szCs w:val="24"/>
        </w:rPr>
        <w:t>номинальной стоимости Биржевых облигаций и выплачиваемых в дату окончания соответствующего купонного периода.</w:t>
      </w:r>
    </w:p>
    <w:p w14:paraId="0979035F" w14:textId="37FF13D9" w:rsidR="00B97F78" w:rsidRPr="007A2034" w:rsidRDefault="00B97F78" w:rsidP="00B97F78">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
          <w:bCs/>
          <w:i/>
          <w:iCs/>
          <w:sz w:val="24"/>
          <w:szCs w:val="24"/>
        </w:rPr>
        <w:t>Количество купонных периодов:</w:t>
      </w:r>
      <w:r w:rsidRPr="007A2034">
        <w:rPr>
          <w:rFonts w:ascii="Times New Roman" w:hAnsi="Times New Roman"/>
          <w:bCs/>
          <w:iCs/>
          <w:sz w:val="24"/>
          <w:szCs w:val="24"/>
        </w:rPr>
        <w:t xml:space="preserve"> </w:t>
      </w:r>
      <w:r w:rsidR="008E64B4" w:rsidRPr="007A2034">
        <w:rPr>
          <w:rFonts w:ascii="Times New Roman" w:hAnsi="Times New Roman"/>
          <w:bCs/>
          <w:iCs/>
          <w:sz w:val="24"/>
          <w:szCs w:val="24"/>
        </w:rPr>
        <w:t>18</w:t>
      </w:r>
      <w:r w:rsidRPr="007A2034">
        <w:rPr>
          <w:rFonts w:ascii="Times New Roman" w:hAnsi="Times New Roman"/>
          <w:bCs/>
          <w:iCs/>
          <w:sz w:val="24"/>
          <w:szCs w:val="24"/>
        </w:rPr>
        <w:t>.</w:t>
      </w:r>
    </w:p>
    <w:p w14:paraId="79DF176B" w14:textId="607F7BEA" w:rsidR="00B97F78" w:rsidRPr="007A2034" w:rsidRDefault="00443F5B" w:rsidP="00B97F78">
      <w:pPr>
        <w:adjustRightInd w:val="0"/>
        <w:spacing w:before="120" w:after="120"/>
        <w:ind w:firstLine="540"/>
        <w:jc w:val="both"/>
        <w:rPr>
          <w:rFonts w:ascii="Times New Roman" w:hAnsi="Times New Roman"/>
          <w:b/>
          <w:i/>
          <w:sz w:val="24"/>
          <w:szCs w:val="24"/>
        </w:rPr>
      </w:pPr>
      <w:r w:rsidRPr="007A2034">
        <w:rPr>
          <w:rFonts w:ascii="Times New Roman" w:hAnsi="Times New Roman"/>
          <w:b/>
          <w:i/>
          <w:sz w:val="24"/>
          <w:szCs w:val="24"/>
        </w:rPr>
        <w:t xml:space="preserve">Порядок определения </w:t>
      </w:r>
      <w:r w:rsidR="00B97F78" w:rsidRPr="007A2034">
        <w:rPr>
          <w:rFonts w:ascii="Times New Roman" w:hAnsi="Times New Roman"/>
          <w:b/>
          <w:i/>
          <w:sz w:val="24"/>
          <w:szCs w:val="24"/>
        </w:rPr>
        <w:t>купонных периодов:</w:t>
      </w:r>
    </w:p>
    <w:p w14:paraId="0B1E7233" w14:textId="77777777" w:rsidR="008E64B4" w:rsidRPr="007A2034" w:rsidRDefault="008E64B4" w:rsidP="008E64B4">
      <w:pPr>
        <w:autoSpaceDE w:val="0"/>
        <w:autoSpaceDN w:val="0"/>
        <w:adjustRightInd w:val="0"/>
        <w:spacing w:before="120" w:after="120" w:line="240" w:lineRule="auto"/>
        <w:jc w:val="both"/>
        <w:rPr>
          <w:rFonts w:ascii="Times New Roman" w:hAnsi="Times New Roman"/>
          <w:bCs/>
          <w:sz w:val="24"/>
          <w:u w:val="single"/>
        </w:rPr>
      </w:pPr>
      <w:r w:rsidRPr="007A2034">
        <w:rPr>
          <w:rFonts w:ascii="Times New Roman" w:hAnsi="Times New Roman"/>
          <w:bCs/>
          <w:sz w:val="24"/>
          <w:u w:val="single"/>
        </w:rPr>
        <w:t>Первый к</w:t>
      </w:r>
      <w:r w:rsidRPr="007A2034">
        <w:rPr>
          <w:rFonts w:ascii="Times New Roman" w:hAnsi="Times New Roman"/>
          <w:bCs/>
          <w:iCs/>
          <w:sz w:val="24"/>
          <w:szCs w:val="24"/>
          <w:u w:val="single"/>
        </w:rPr>
        <w:t>упонный период</w:t>
      </w:r>
      <w:r w:rsidRPr="007A2034">
        <w:rPr>
          <w:rFonts w:ascii="Times New Roman" w:hAnsi="Times New Roman"/>
          <w:bCs/>
          <w:sz w:val="24"/>
          <w:u w:val="single"/>
        </w:rPr>
        <w:t>:</w:t>
      </w:r>
    </w:p>
    <w:p w14:paraId="2A0FD436" w14:textId="77777777" w:rsidR="008E64B4" w:rsidRPr="007A2034" w:rsidRDefault="008E64B4" w:rsidP="008E64B4">
      <w:pPr>
        <w:autoSpaceDE w:val="0"/>
        <w:autoSpaceDN w:val="0"/>
        <w:adjustRightInd w:val="0"/>
        <w:spacing w:before="120" w:after="120" w:line="240" w:lineRule="auto"/>
        <w:ind w:firstLine="567"/>
        <w:jc w:val="both"/>
        <w:rPr>
          <w:rFonts w:ascii="Times New Roman" w:hAnsi="Times New Roman"/>
          <w:bCs/>
          <w:sz w:val="24"/>
        </w:rPr>
      </w:pPr>
      <w:r w:rsidRPr="007A2034">
        <w:rPr>
          <w:rFonts w:ascii="Times New Roman" w:hAnsi="Times New Roman"/>
          <w:bCs/>
          <w:sz w:val="24"/>
        </w:rPr>
        <w:t xml:space="preserve">Дата </w:t>
      </w:r>
      <w:r w:rsidRPr="007A2034">
        <w:rPr>
          <w:rFonts w:ascii="Times New Roman" w:hAnsi="Times New Roman"/>
          <w:bCs/>
          <w:iCs/>
          <w:sz w:val="24"/>
          <w:szCs w:val="24"/>
        </w:rPr>
        <w:t>начала</w:t>
      </w:r>
      <w:r w:rsidRPr="007A2034">
        <w:rPr>
          <w:rFonts w:ascii="Times New Roman" w:hAnsi="Times New Roman"/>
          <w:bCs/>
          <w:sz w:val="24"/>
        </w:rPr>
        <w:t xml:space="preserve"> купонного периода – дата начала размещения Биржевых облигаций;</w:t>
      </w:r>
    </w:p>
    <w:p w14:paraId="3C4CF29C" w14:textId="77777777" w:rsidR="008E64B4" w:rsidRPr="007A2034" w:rsidRDefault="008E64B4" w:rsidP="008E64B4">
      <w:pPr>
        <w:adjustRightInd w:val="0"/>
        <w:spacing w:before="120" w:after="120"/>
        <w:ind w:firstLine="567"/>
        <w:jc w:val="both"/>
        <w:rPr>
          <w:rFonts w:ascii="Times New Roman" w:hAnsi="Times New Roman"/>
          <w:bCs/>
          <w:sz w:val="24"/>
        </w:rPr>
      </w:pPr>
      <w:r w:rsidRPr="007A2034">
        <w:rPr>
          <w:rFonts w:ascii="Times New Roman" w:hAnsi="Times New Roman"/>
          <w:bCs/>
          <w:sz w:val="24"/>
        </w:rPr>
        <w:t xml:space="preserve">Дата </w:t>
      </w:r>
      <w:r w:rsidRPr="007A2034">
        <w:rPr>
          <w:rFonts w:ascii="Times New Roman" w:hAnsi="Times New Roman"/>
          <w:bCs/>
          <w:iCs/>
          <w:sz w:val="24"/>
          <w:szCs w:val="24"/>
        </w:rPr>
        <w:t>окончания</w:t>
      </w:r>
      <w:r w:rsidRPr="007A2034">
        <w:rPr>
          <w:rFonts w:ascii="Times New Roman" w:hAnsi="Times New Roman"/>
          <w:bCs/>
          <w:sz w:val="24"/>
        </w:rPr>
        <w:t xml:space="preserve"> купонного периода – Календарная дата в месяце, следующем за месяцем даты начала размещения Биржевых облигаций;</w:t>
      </w:r>
    </w:p>
    <w:p w14:paraId="6F042016" w14:textId="77777777" w:rsidR="008E64B4" w:rsidRPr="007A2034" w:rsidRDefault="008E64B4" w:rsidP="008E64B4">
      <w:pPr>
        <w:adjustRightInd w:val="0"/>
        <w:spacing w:before="120" w:after="120"/>
        <w:ind w:firstLine="567"/>
        <w:jc w:val="both"/>
        <w:rPr>
          <w:rFonts w:ascii="Times New Roman" w:hAnsi="Times New Roman"/>
          <w:bCs/>
          <w:sz w:val="24"/>
        </w:rPr>
      </w:pPr>
      <w:r w:rsidRPr="007A2034">
        <w:rPr>
          <w:rFonts w:ascii="Times New Roman" w:hAnsi="Times New Roman"/>
          <w:bCs/>
          <w:sz w:val="24"/>
        </w:rPr>
        <w:t>В случае, если в следующем месяце отсутствует Календарная дата, то датой окончания первого купонного периода является последний календарный день этого месяца.</w:t>
      </w:r>
    </w:p>
    <w:p w14:paraId="0C4FEEE5" w14:textId="67A111EA" w:rsidR="008E64B4" w:rsidRPr="007A2034" w:rsidRDefault="008E64B4" w:rsidP="008E64B4">
      <w:pPr>
        <w:autoSpaceDE w:val="0"/>
        <w:autoSpaceDN w:val="0"/>
        <w:adjustRightInd w:val="0"/>
        <w:spacing w:before="120" w:after="120" w:line="240" w:lineRule="auto"/>
        <w:jc w:val="both"/>
        <w:rPr>
          <w:rFonts w:ascii="Times New Roman" w:hAnsi="Times New Roman"/>
          <w:bCs/>
          <w:sz w:val="24"/>
          <w:u w:val="single"/>
        </w:rPr>
      </w:pPr>
      <w:r w:rsidRPr="007A2034">
        <w:rPr>
          <w:rFonts w:ascii="Times New Roman" w:hAnsi="Times New Roman"/>
          <w:bCs/>
          <w:sz w:val="24"/>
          <w:u w:val="single"/>
        </w:rPr>
        <w:t>Купонные периоды со второго по семнадцатый</w:t>
      </w:r>
      <w:r w:rsidR="00DC7D5A" w:rsidRPr="007A2034">
        <w:rPr>
          <w:rFonts w:ascii="Times New Roman" w:hAnsi="Times New Roman"/>
          <w:bCs/>
          <w:sz w:val="24"/>
          <w:u w:val="single"/>
        </w:rPr>
        <w:t xml:space="preserve"> включительно</w:t>
      </w:r>
      <w:r w:rsidRPr="007A2034">
        <w:rPr>
          <w:rFonts w:ascii="Times New Roman" w:hAnsi="Times New Roman"/>
          <w:bCs/>
          <w:sz w:val="24"/>
          <w:u w:val="single"/>
        </w:rPr>
        <w:t>:</w:t>
      </w:r>
    </w:p>
    <w:p w14:paraId="718C8741" w14:textId="3111F8C4" w:rsidR="008E64B4" w:rsidRPr="007A2034" w:rsidRDefault="008E64B4" w:rsidP="008E64B4">
      <w:pPr>
        <w:autoSpaceDE w:val="0"/>
        <w:autoSpaceDN w:val="0"/>
        <w:spacing w:after="0" w:line="240" w:lineRule="auto"/>
        <w:ind w:firstLine="567"/>
        <w:jc w:val="both"/>
        <w:rPr>
          <w:rFonts w:ascii="Times New Roman" w:hAnsi="Times New Roman"/>
          <w:bCs/>
          <w:sz w:val="24"/>
        </w:rPr>
      </w:pPr>
      <w:r w:rsidRPr="007A2034">
        <w:rPr>
          <w:rFonts w:ascii="Times New Roman" w:hAnsi="Times New Roman"/>
          <w:bCs/>
          <w:sz w:val="24"/>
        </w:rPr>
        <w:t xml:space="preserve">Дата начала купонного периода – дата окончания первого и каждого последующего купонного периода </w:t>
      </w:r>
      <w:r w:rsidR="00DC7D5A" w:rsidRPr="007A2034">
        <w:rPr>
          <w:rFonts w:ascii="Times New Roman" w:hAnsi="Times New Roman"/>
          <w:bCs/>
          <w:sz w:val="24"/>
        </w:rPr>
        <w:t xml:space="preserve">со второго по шестнадцатый </w:t>
      </w:r>
      <w:r w:rsidRPr="007A2034">
        <w:rPr>
          <w:rFonts w:ascii="Times New Roman" w:hAnsi="Times New Roman"/>
          <w:bCs/>
          <w:sz w:val="24"/>
        </w:rPr>
        <w:t>соответственно</w:t>
      </w:r>
      <w:r w:rsidR="00DC7D5A" w:rsidRPr="007A2034">
        <w:rPr>
          <w:rFonts w:ascii="Times New Roman" w:hAnsi="Times New Roman"/>
          <w:bCs/>
          <w:sz w:val="24"/>
        </w:rPr>
        <w:t>, предшествующего текущему купонному периоду</w:t>
      </w:r>
      <w:r w:rsidRPr="007A2034">
        <w:rPr>
          <w:rFonts w:ascii="Times New Roman" w:hAnsi="Times New Roman"/>
          <w:bCs/>
          <w:sz w:val="24"/>
        </w:rPr>
        <w:t>;</w:t>
      </w:r>
    </w:p>
    <w:p w14:paraId="372DAE11" w14:textId="25AB87FB" w:rsidR="008E64B4" w:rsidRPr="007A2034" w:rsidRDefault="008E64B4" w:rsidP="008E64B4">
      <w:pPr>
        <w:adjustRightInd w:val="0"/>
        <w:spacing w:before="120" w:after="120"/>
        <w:ind w:firstLine="567"/>
        <w:jc w:val="both"/>
        <w:rPr>
          <w:rFonts w:ascii="Times New Roman" w:hAnsi="Times New Roman"/>
          <w:bCs/>
          <w:sz w:val="24"/>
        </w:rPr>
      </w:pPr>
      <w:r w:rsidRPr="007A2034">
        <w:rPr>
          <w:rFonts w:ascii="Times New Roman" w:hAnsi="Times New Roman"/>
          <w:bCs/>
          <w:sz w:val="24"/>
        </w:rPr>
        <w:t xml:space="preserve">Дата окончания купонного периода – Календарная дата в месяце, следующем за месяцем даты начала </w:t>
      </w:r>
      <w:r w:rsidR="00DC7D5A" w:rsidRPr="007A2034">
        <w:rPr>
          <w:rFonts w:ascii="Times New Roman" w:hAnsi="Times New Roman"/>
          <w:bCs/>
          <w:sz w:val="24"/>
        </w:rPr>
        <w:t xml:space="preserve">соответствующего </w:t>
      </w:r>
      <w:r w:rsidRPr="007A2034">
        <w:rPr>
          <w:rFonts w:ascii="Times New Roman" w:hAnsi="Times New Roman"/>
          <w:bCs/>
          <w:sz w:val="24"/>
        </w:rPr>
        <w:t>купонного периода;</w:t>
      </w:r>
    </w:p>
    <w:p w14:paraId="6E7B99EA" w14:textId="77777777" w:rsidR="008E64B4" w:rsidRPr="007A2034" w:rsidRDefault="008E64B4" w:rsidP="008E64B4">
      <w:pPr>
        <w:adjustRightInd w:val="0"/>
        <w:spacing w:before="120" w:after="120"/>
        <w:ind w:firstLine="567"/>
        <w:jc w:val="both"/>
        <w:rPr>
          <w:rFonts w:ascii="Times New Roman" w:hAnsi="Times New Roman"/>
          <w:bCs/>
          <w:sz w:val="24"/>
        </w:rPr>
      </w:pPr>
      <w:r w:rsidRPr="007A2034">
        <w:rPr>
          <w:rFonts w:ascii="Times New Roman" w:hAnsi="Times New Roman"/>
          <w:bCs/>
          <w:sz w:val="24"/>
        </w:rPr>
        <w:t>В случае, если в следующем месяце отсутствует Календарная дата, то датой окончания купонного периода является последний календарный день такого месяца.</w:t>
      </w:r>
    </w:p>
    <w:p w14:paraId="16CC9AC0" w14:textId="7E953B96" w:rsidR="008E64B4" w:rsidRPr="007A2034" w:rsidRDefault="008E64B4" w:rsidP="008E64B4">
      <w:pPr>
        <w:autoSpaceDE w:val="0"/>
        <w:autoSpaceDN w:val="0"/>
        <w:adjustRightInd w:val="0"/>
        <w:spacing w:before="120" w:after="120" w:line="240" w:lineRule="auto"/>
        <w:jc w:val="both"/>
        <w:rPr>
          <w:rFonts w:ascii="Times New Roman" w:hAnsi="Times New Roman"/>
          <w:bCs/>
          <w:sz w:val="24"/>
          <w:u w:val="single"/>
        </w:rPr>
      </w:pPr>
      <w:r w:rsidRPr="007A2034">
        <w:rPr>
          <w:rFonts w:ascii="Times New Roman" w:hAnsi="Times New Roman"/>
          <w:bCs/>
          <w:sz w:val="24"/>
          <w:u w:val="single"/>
        </w:rPr>
        <w:t>Восемнадцатый купонный период:</w:t>
      </w:r>
    </w:p>
    <w:p w14:paraId="42596B3A" w14:textId="50FDB6AF" w:rsidR="008E64B4" w:rsidRPr="007A2034" w:rsidRDefault="008E64B4" w:rsidP="008E64B4">
      <w:pPr>
        <w:autoSpaceDE w:val="0"/>
        <w:autoSpaceDN w:val="0"/>
        <w:spacing w:after="0" w:line="240" w:lineRule="auto"/>
        <w:ind w:firstLine="567"/>
        <w:jc w:val="both"/>
        <w:rPr>
          <w:rFonts w:ascii="Times New Roman" w:hAnsi="Times New Roman"/>
          <w:bCs/>
          <w:sz w:val="24"/>
        </w:rPr>
      </w:pPr>
      <w:r w:rsidRPr="007A2034">
        <w:rPr>
          <w:rFonts w:ascii="Times New Roman" w:hAnsi="Times New Roman"/>
          <w:bCs/>
          <w:sz w:val="24"/>
        </w:rPr>
        <w:t>Дата начала купонного периода – дата окончания семнадцатого купонного периода;</w:t>
      </w:r>
    </w:p>
    <w:p w14:paraId="162CD325" w14:textId="50ACE4B8" w:rsidR="008E64B4" w:rsidRPr="007A2034" w:rsidRDefault="008E64B4" w:rsidP="008E64B4">
      <w:pPr>
        <w:adjustRightInd w:val="0"/>
        <w:spacing w:before="120" w:after="120"/>
        <w:ind w:firstLine="567"/>
        <w:jc w:val="both"/>
        <w:rPr>
          <w:rFonts w:ascii="Times New Roman" w:hAnsi="Times New Roman"/>
          <w:sz w:val="24"/>
        </w:rPr>
      </w:pPr>
      <w:r w:rsidRPr="007A2034">
        <w:rPr>
          <w:rFonts w:ascii="Times New Roman" w:hAnsi="Times New Roman"/>
          <w:bCs/>
          <w:sz w:val="24"/>
        </w:rPr>
        <w:t>Дата окончания купонного периода – 547 (Пятьсот сорок седьмой) день с даты начала размещения Биржевых облигаций.</w:t>
      </w:r>
    </w:p>
    <w:p w14:paraId="1C546652" w14:textId="77777777" w:rsidR="00B97F78" w:rsidRPr="007A2034" w:rsidRDefault="00B97F78" w:rsidP="00B97F78">
      <w:pPr>
        <w:adjustRightInd w:val="0"/>
        <w:spacing w:before="120" w:after="120"/>
        <w:ind w:firstLine="540"/>
        <w:jc w:val="both"/>
        <w:rPr>
          <w:rFonts w:ascii="Times New Roman" w:hAnsi="Times New Roman"/>
          <w:b/>
          <w:i/>
          <w:sz w:val="24"/>
          <w:szCs w:val="24"/>
        </w:rPr>
      </w:pPr>
      <w:r w:rsidRPr="007A2034">
        <w:rPr>
          <w:rFonts w:ascii="Times New Roman" w:hAnsi="Times New Roman"/>
          <w:b/>
          <w:i/>
          <w:sz w:val="24"/>
          <w:szCs w:val="24"/>
        </w:rPr>
        <w:t>Размер купонного дохода или порядок его определения:</w:t>
      </w:r>
    </w:p>
    <w:p w14:paraId="413236FB"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Размер купонного дохода, выплачиваемого по каждому купону, определяется по формуле: </w:t>
      </w:r>
    </w:p>
    <w:p w14:paraId="3E7406DD"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КД = Cj * Nom * (T(j) -T(j-1)) / (365 * 100%), где </w:t>
      </w:r>
    </w:p>
    <w:p w14:paraId="0438114C"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КД - величина купонного дохода по каждой Биржевой облигации, в российских рублях; </w:t>
      </w:r>
    </w:p>
    <w:p w14:paraId="75FC4F3F" w14:textId="2579DC33"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j – порядковый номер купонного периода, (j=1, 2</w:t>
      </w:r>
      <w:r w:rsidR="008E64B4" w:rsidRPr="007A2034">
        <w:rPr>
          <w:rFonts w:ascii="Times New Roman" w:hAnsi="Times New Roman"/>
          <w:bCs/>
          <w:iCs/>
          <w:sz w:val="24"/>
          <w:szCs w:val="24"/>
        </w:rPr>
        <w:t>, …, 18</w:t>
      </w:r>
      <w:r w:rsidRPr="007A2034">
        <w:rPr>
          <w:rFonts w:ascii="Times New Roman" w:hAnsi="Times New Roman"/>
          <w:bCs/>
          <w:iCs/>
          <w:sz w:val="24"/>
          <w:szCs w:val="24"/>
        </w:rPr>
        <w:t xml:space="preserve">); </w:t>
      </w:r>
    </w:p>
    <w:p w14:paraId="6B791E64"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Nom – непогашенная часть номинальной стоимости одной Биржевой облигации, в российских рублях; </w:t>
      </w:r>
    </w:p>
    <w:p w14:paraId="208FE1EF"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Cj – размер процентной ставки j-го купона, в процентах годовых; </w:t>
      </w:r>
    </w:p>
    <w:p w14:paraId="4ADB4E30"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T(j-1) – дата начала j-го купонного периода; </w:t>
      </w:r>
    </w:p>
    <w:p w14:paraId="5A536266" w14:textId="77777777"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T(j) – дата окончания j-го купонного периода. </w:t>
      </w:r>
    </w:p>
    <w:p w14:paraId="1B97F425" w14:textId="2CC8ABB7" w:rsidR="00540F39" w:rsidRPr="007A2034" w:rsidRDefault="00540F39" w:rsidP="00540BF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Величина купонного дохода в расчете на одну Биржевую облигацию рассчитывается с точностью до второго знака после запятой (округление второго знака после запятой производится по правилам математического округления: в случае, если третий знак после запятой больше или равен 5, второй знак после запятой увеличивается на единицу, в случае, если третий знак после запятой меньше 5, второй знак после запятой не изменяется).</w:t>
      </w:r>
    </w:p>
    <w:p w14:paraId="3D368CFB" w14:textId="72AAC016" w:rsidR="00540F39" w:rsidRPr="007A2034" w:rsidRDefault="00540F39" w:rsidP="00B97F78">
      <w:pPr>
        <w:autoSpaceDE w:val="0"/>
        <w:autoSpaceDN w:val="0"/>
        <w:adjustRightInd w:val="0"/>
        <w:spacing w:before="120" w:after="120" w:line="240" w:lineRule="auto"/>
        <w:ind w:firstLine="540"/>
        <w:jc w:val="both"/>
        <w:rPr>
          <w:rFonts w:ascii="Times New Roman" w:hAnsi="Times New Roman" w:cs="Times New Roman"/>
          <w:bCs/>
          <w:iCs/>
          <w:sz w:val="28"/>
          <w:szCs w:val="24"/>
        </w:rPr>
      </w:pPr>
      <w:r w:rsidRPr="007A2034">
        <w:rPr>
          <w:rFonts w:ascii="Times New Roman" w:hAnsi="Times New Roman" w:cs="Times New Roman"/>
          <w:bCs/>
          <w:iCs/>
          <w:sz w:val="24"/>
        </w:rPr>
        <w:t>Размер процента (купона) устанавливается в процентах годовых от непогашенной части номинальной стоимости Биржевых облигаций с точностью до сотой доли процента.</w:t>
      </w:r>
    </w:p>
    <w:p w14:paraId="2F8107BE" w14:textId="624F1F09"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Уполномоченное должностное лицо Эмитента до даты начала размещения Биржевых облигаций принимает решение о величине процентной ставки по первому купону. </w:t>
      </w:r>
    </w:p>
    <w:p w14:paraId="70CB4D07" w14:textId="0412DA58" w:rsidR="00540F39" w:rsidRPr="007A2034" w:rsidRDefault="00540F39"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Информация о величине процентной ставки по первому купону раскрывается Эмитентом в соответствии с п.11 Программы.</w:t>
      </w:r>
    </w:p>
    <w:p w14:paraId="1565918B" w14:textId="12067E27" w:rsidR="00E27C58" w:rsidRPr="007A2034" w:rsidRDefault="00E27C58" w:rsidP="00540F39">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Процентная ставка по </w:t>
      </w:r>
      <w:r w:rsidR="00DD4F72" w:rsidRPr="007A2034">
        <w:rPr>
          <w:rFonts w:ascii="Times New Roman" w:hAnsi="Times New Roman"/>
          <w:bCs/>
          <w:iCs/>
          <w:sz w:val="24"/>
          <w:szCs w:val="24"/>
        </w:rPr>
        <w:t xml:space="preserve">купонам со </w:t>
      </w:r>
      <w:r w:rsidRPr="007A2034">
        <w:rPr>
          <w:rFonts w:ascii="Times New Roman" w:hAnsi="Times New Roman"/>
          <w:bCs/>
          <w:iCs/>
          <w:sz w:val="24"/>
          <w:szCs w:val="24"/>
        </w:rPr>
        <w:t>второ</w:t>
      </w:r>
      <w:r w:rsidR="00DD4F72" w:rsidRPr="007A2034">
        <w:rPr>
          <w:rFonts w:ascii="Times New Roman" w:hAnsi="Times New Roman"/>
          <w:bCs/>
          <w:iCs/>
          <w:sz w:val="24"/>
          <w:szCs w:val="24"/>
        </w:rPr>
        <w:t xml:space="preserve">го по </w:t>
      </w:r>
      <w:r w:rsidR="008E64B4" w:rsidRPr="007A2034">
        <w:rPr>
          <w:rFonts w:ascii="Times New Roman" w:hAnsi="Times New Roman"/>
          <w:bCs/>
          <w:iCs/>
          <w:sz w:val="24"/>
          <w:szCs w:val="24"/>
        </w:rPr>
        <w:t>восемнадца</w:t>
      </w:r>
      <w:r w:rsidR="00DD4F72" w:rsidRPr="007A2034">
        <w:rPr>
          <w:rFonts w:ascii="Times New Roman" w:hAnsi="Times New Roman"/>
          <w:bCs/>
          <w:iCs/>
          <w:sz w:val="24"/>
          <w:szCs w:val="24"/>
        </w:rPr>
        <w:t>тый</w:t>
      </w:r>
      <w:r w:rsidRPr="007A2034">
        <w:rPr>
          <w:rFonts w:ascii="Times New Roman" w:hAnsi="Times New Roman"/>
          <w:bCs/>
          <w:iCs/>
          <w:sz w:val="24"/>
          <w:szCs w:val="24"/>
        </w:rPr>
        <w:t xml:space="preserve"> </w:t>
      </w:r>
      <w:r w:rsidR="00B66A46" w:rsidRPr="007A2034">
        <w:rPr>
          <w:rFonts w:ascii="Times New Roman" w:hAnsi="Times New Roman"/>
          <w:bCs/>
          <w:iCs/>
          <w:sz w:val="24"/>
          <w:szCs w:val="24"/>
        </w:rPr>
        <w:t xml:space="preserve">включительно </w:t>
      </w:r>
      <w:r w:rsidRPr="007A2034">
        <w:rPr>
          <w:rFonts w:ascii="Times New Roman" w:hAnsi="Times New Roman"/>
          <w:bCs/>
          <w:iCs/>
          <w:sz w:val="24"/>
          <w:szCs w:val="24"/>
        </w:rPr>
        <w:t>равна ставке по первому купону.</w:t>
      </w:r>
    </w:p>
    <w:p w14:paraId="289FAA30" w14:textId="77777777" w:rsidR="00B97F78" w:rsidRPr="007A2034" w:rsidRDefault="00B97F78" w:rsidP="00B97F78">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Иные сведения, подлежащие указанию в настоящем пункте, приведены в пункте 9.3 Программы.</w:t>
      </w:r>
    </w:p>
    <w:p w14:paraId="4855D573" w14:textId="77777777" w:rsidR="00DF0041" w:rsidRPr="007A2034" w:rsidRDefault="00DF0041" w:rsidP="00DF0041">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Дополнительный доход по Биржевым облигациям не предусмотрен.</w:t>
      </w:r>
    </w:p>
    <w:p w14:paraId="129D9EC5" w14:textId="1FEA7BA4" w:rsidR="00DF0041" w:rsidRPr="007A2034" w:rsidRDefault="00DF0041" w:rsidP="00DF0041">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Биржевые облигации не являются дисконтными.</w:t>
      </w:r>
    </w:p>
    <w:p w14:paraId="1777AAAE" w14:textId="0D138204" w:rsidR="009F0FE6" w:rsidRPr="007A2034" w:rsidRDefault="009F0FE6" w:rsidP="00B97F78">
      <w:pPr>
        <w:autoSpaceDE w:val="0"/>
        <w:autoSpaceDN w:val="0"/>
        <w:adjustRightInd w:val="0"/>
        <w:spacing w:before="120" w:after="120" w:line="240" w:lineRule="auto"/>
        <w:ind w:firstLine="540"/>
        <w:jc w:val="both"/>
        <w:rPr>
          <w:rFonts w:ascii="Times New Roman" w:eastAsia="Times New Roman" w:hAnsi="Times New Roman"/>
          <w:b/>
          <w:bCs/>
          <w:i/>
          <w:iCs/>
          <w:color w:val="000000"/>
        </w:rPr>
      </w:pPr>
      <w:r w:rsidRPr="007A2034">
        <w:rPr>
          <w:rFonts w:ascii="Times New Roman" w:hAnsi="Times New Roman"/>
          <w:b/>
          <w:bCs/>
          <w:i/>
          <w:iCs/>
          <w:sz w:val="24"/>
          <w:szCs w:val="24"/>
        </w:rPr>
        <w:t>5.5. Порядок и срок выплаты дохода по облигациям</w:t>
      </w:r>
    </w:p>
    <w:p w14:paraId="52A68194" w14:textId="0D7844D9" w:rsidR="009F0FE6" w:rsidRPr="007A2034" w:rsidRDefault="009F0FE6" w:rsidP="009F0FE6">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Выплата купонного дохода по Биржевым облигациям производится денежными средствами в рублях</w:t>
      </w:r>
      <w:r w:rsidR="00876246" w:rsidRPr="007A2034">
        <w:rPr>
          <w:rFonts w:ascii="Times New Roman" w:hAnsi="Times New Roman"/>
          <w:bCs/>
          <w:iCs/>
          <w:sz w:val="24"/>
          <w:szCs w:val="24"/>
        </w:rPr>
        <w:t xml:space="preserve"> Российской Федерации</w:t>
      </w:r>
      <w:r w:rsidRPr="007A2034">
        <w:rPr>
          <w:rFonts w:ascii="Times New Roman" w:hAnsi="Times New Roman"/>
          <w:bCs/>
          <w:iCs/>
          <w:sz w:val="24"/>
          <w:szCs w:val="24"/>
        </w:rPr>
        <w:t xml:space="preserve"> в безналичном порядке.</w:t>
      </w:r>
    </w:p>
    <w:p w14:paraId="654A4B8C" w14:textId="5325F611" w:rsidR="009F0FE6" w:rsidRPr="007A2034" w:rsidRDefault="009F0FE6" w:rsidP="00B50123">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Купонный доход за соответствующий купонный период выплачивается в дату окончания соответствующего купонного периода. Порядок определения даты окончания каждого купонного периода по Биржевым облигациям указан в пункте 5.4 настоящего Решения о выпуске.</w:t>
      </w:r>
    </w:p>
    <w:p w14:paraId="38C75B3E" w14:textId="7186A117" w:rsidR="004A295A" w:rsidRPr="007A2034" w:rsidRDefault="004A295A" w:rsidP="00B50123">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Купонный доход по неразмещенным Биржевым облигациям или по Биржевым облигациям, переведенным на счет Эмитента в НРД, не начисляется и не выплачивается.</w:t>
      </w:r>
    </w:p>
    <w:p w14:paraId="34E679CD" w14:textId="100F61A9" w:rsidR="006C2552" w:rsidRPr="007A2034" w:rsidRDefault="008669EA" w:rsidP="006C255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
          <w:bCs/>
          <w:i/>
          <w:iCs/>
          <w:sz w:val="24"/>
          <w:szCs w:val="24"/>
        </w:rPr>
        <w:t>Порядок выплаты дохода по облигациям, в том числе порядок выплаты (передачи) дохода по облигациям в неденежной форме в случае, если по облигациям предусматривается доход в неденежной форме:</w:t>
      </w:r>
      <w:r w:rsidR="007C33C8" w:rsidRPr="007A2034">
        <w:rPr>
          <w:rFonts w:ascii="Times New Roman" w:hAnsi="Times New Roman"/>
          <w:b/>
          <w:bCs/>
          <w:i/>
          <w:iCs/>
          <w:sz w:val="24"/>
          <w:szCs w:val="24"/>
        </w:rPr>
        <w:t xml:space="preserve"> </w:t>
      </w:r>
      <w:r w:rsidR="006C2552" w:rsidRPr="007A2034">
        <w:rPr>
          <w:rFonts w:ascii="Times New Roman" w:hAnsi="Times New Roman"/>
          <w:bCs/>
          <w:iCs/>
          <w:sz w:val="24"/>
          <w:szCs w:val="24"/>
        </w:rPr>
        <w:t xml:space="preserve">Биржевые облигации являются ценными бумагами с централизованным учетом прав. </w:t>
      </w:r>
    </w:p>
    <w:p w14:paraId="1FF35F1F" w14:textId="77777777" w:rsidR="008669EA" w:rsidRPr="007A2034" w:rsidRDefault="006C2552" w:rsidP="006C255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Эмитент исполняет обязанность по осуществлению выплат по ценным бумагам, права на которые учитываются депозитарием, путем перечисления денежных средств депозитарию, осуществляющему централизованный учет прав на Биржевые облигации.</w:t>
      </w:r>
    </w:p>
    <w:p w14:paraId="08DB8212" w14:textId="392257A7" w:rsidR="006C2552" w:rsidRPr="007A2034" w:rsidRDefault="008669EA" w:rsidP="006C255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Указанная обязанность считается исполненной Эмитентом с даты поступления денежных средств на счет депозитария, осуществляющего централизованный учет прав на Биржевые облигации.</w:t>
      </w:r>
    </w:p>
    <w:p w14:paraId="6819A2C9" w14:textId="6F572702" w:rsidR="006C2552" w:rsidRPr="007A2034" w:rsidRDefault="006C2552" w:rsidP="006C255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Владельцы Биржевых облигаций и иные лица, осуществляющие в соответствии с федеральными законами права по Биржевым облигациям, получают причитающиеся им денежные выплаты </w:t>
      </w:r>
      <w:r w:rsidR="00F7495D" w:rsidRPr="007A2034">
        <w:rPr>
          <w:rFonts w:ascii="Times New Roman" w:hAnsi="Times New Roman"/>
          <w:bCs/>
          <w:iCs/>
          <w:sz w:val="24"/>
          <w:szCs w:val="24"/>
        </w:rPr>
        <w:t>по</w:t>
      </w:r>
      <w:r w:rsidRPr="007A2034">
        <w:rPr>
          <w:rFonts w:ascii="Times New Roman" w:hAnsi="Times New Roman"/>
          <w:bCs/>
          <w:iCs/>
          <w:sz w:val="24"/>
          <w:szCs w:val="24"/>
        </w:rPr>
        <w:t xml:space="preserve"> Биржевы</w:t>
      </w:r>
      <w:r w:rsidR="00F7495D" w:rsidRPr="007A2034">
        <w:rPr>
          <w:rFonts w:ascii="Times New Roman" w:hAnsi="Times New Roman"/>
          <w:bCs/>
          <w:iCs/>
          <w:sz w:val="24"/>
          <w:szCs w:val="24"/>
        </w:rPr>
        <w:t>м</w:t>
      </w:r>
      <w:r w:rsidRPr="007A2034">
        <w:rPr>
          <w:rFonts w:ascii="Times New Roman" w:hAnsi="Times New Roman"/>
          <w:bCs/>
          <w:iCs/>
          <w:sz w:val="24"/>
          <w:szCs w:val="24"/>
        </w:rPr>
        <w:t xml:space="preserve"> облигаци</w:t>
      </w:r>
      <w:r w:rsidR="00F7495D" w:rsidRPr="007A2034">
        <w:rPr>
          <w:rFonts w:ascii="Times New Roman" w:hAnsi="Times New Roman"/>
          <w:bCs/>
          <w:iCs/>
          <w:sz w:val="24"/>
          <w:szCs w:val="24"/>
        </w:rPr>
        <w:t>ям</w:t>
      </w:r>
      <w:r w:rsidRPr="007A2034">
        <w:rPr>
          <w:rFonts w:ascii="Times New Roman" w:hAnsi="Times New Roman"/>
          <w:bCs/>
          <w:iCs/>
          <w:sz w:val="24"/>
          <w:szCs w:val="24"/>
        </w:rPr>
        <w:t xml:space="preserve"> через депозитарий</w:t>
      </w:r>
      <w:r w:rsidR="003436BE" w:rsidRPr="007A2034">
        <w:rPr>
          <w:rFonts w:ascii="Times New Roman" w:hAnsi="Times New Roman"/>
          <w:bCs/>
          <w:iCs/>
          <w:sz w:val="24"/>
          <w:szCs w:val="24"/>
        </w:rPr>
        <w:t>, осуществляющий учет прав на Биржевые облигации</w:t>
      </w:r>
      <w:r w:rsidRPr="007A2034">
        <w:rPr>
          <w:rFonts w:ascii="Times New Roman" w:hAnsi="Times New Roman"/>
          <w:bCs/>
          <w:iCs/>
          <w:sz w:val="24"/>
          <w:szCs w:val="24"/>
        </w:rPr>
        <w:t>, депонентами которого они являются.</w:t>
      </w:r>
      <w:r w:rsidR="00F7495D" w:rsidRPr="007A2034">
        <w:t xml:space="preserve"> </w:t>
      </w:r>
      <w:r w:rsidR="00F7495D" w:rsidRPr="007A2034">
        <w:rPr>
          <w:rFonts w:ascii="Times New Roman" w:hAnsi="Times New Roman"/>
          <w:bCs/>
          <w:iCs/>
          <w:sz w:val="24"/>
          <w:szCs w:val="24"/>
        </w:rPr>
        <w:t>Для получения выплат по Биржевым облигациям указанные лица должны иметь банковский счет в рублях</w:t>
      </w:r>
      <w:r w:rsidR="00540BF9" w:rsidRPr="007A2034">
        <w:rPr>
          <w:rFonts w:ascii="Times New Roman" w:hAnsi="Times New Roman"/>
          <w:bCs/>
          <w:iCs/>
          <w:sz w:val="24"/>
          <w:szCs w:val="24"/>
        </w:rPr>
        <w:t xml:space="preserve"> Российской Федерации</w:t>
      </w:r>
      <w:r w:rsidR="00F7495D" w:rsidRPr="007A2034">
        <w:rPr>
          <w:rFonts w:ascii="Times New Roman" w:hAnsi="Times New Roman"/>
          <w:bCs/>
          <w:iCs/>
          <w:sz w:val="24"/>
          <w:szCs w:val="24"/>
        </w:rPr>
        <w:t>, открываемый в кредитной организации.</w:t>
      </w:r>
    </w:p>
    <w:p w14:paraId="50563AB0" w14:textId="14157BA6" w:rsidR="004A295A" w:rsidRPr="007A2034" w:rsidRDefault="006C2552" w:rsidP="004A295A">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Передача денежных выплат </w:t>
      </w:r>
      <w:r w:rsidR="00DF0041" w:rsidRPr="007A2034">
        <w:rPr>
          <w:rFonts w:ascii="Times New Roman" w:hAnsi="Times New Roman"/>
          <w:bCs/>
          <w:iCs/>
          <w:sz w:val="24"/>
          <w:szCs w:val="24"/>
        </w:rPr>
        <w:t>при выплате дохода по</w:t>
      </w:r>
      <w:r w:rsidRPr="007A2034">
        <w:rPr>
          <w:rFonts w:ascii="Times New Roman" w:hAnsi="Times New Roman"/>
          <w:bCs/>
          <w:iCs/>
          <w:sz w:val="24"/>
          <w:szCs w:val="24"/>
        </w:rPr>
        <w:t xml:space="preserve"> Биржевы</w:t>
      </w:r>
      <w:r w:rsidR="00DF0041" w:rsidRPr="007A2034">
        <w:rPr>
          <w:rFonts w:ascii="Times New Roman" w:hAnsi="Times New Roman"/>
          <w:bCs/>
          <w:iCs/>
          <w:sz w:val="24"/>
          <w:szCs w:val="24"/>
        </w:rPr>
        <w:t>м</w:t>
      </w:r>
      <w:r w:rsidRPr="007A2034">
        <w:rPr>
          <w:rFonts w:ascii="Times New Roman" w:hAnsi="Times New Roman"/>
          <w:bCs/>
          <w:iCs/>
          <w:sz w:val="24"/>
          <w:szCs w:val="24"/>
        </w:rPr>
        <w:t xml:space="preserve"> облигаци</w:t>
      </w:r>
      <w:r w:rsidR="00DF0041" w:rsidRPr="007A2034">
        <w:rPr>
          <w:rFonts w:ascii="Times New Roman" w:hAnsi="Times New Roman"/>
          <w:bCs/>
          <w:iCs/>
          <w:sz w:val="24"/>
          <w:szCs w:val="24"/>
        </w:rPr>
        <w:t>ям</w:t>
      </w:r>
      <w:r w:rsidRPr="007A2034">
        <w:rPr>
          <w:rFonts w:ascii="Times New Roman" w:hAnsi="Times New Roman"/>
          <w:bCs/>
          <w:iCs/>
          <w:sz w:val="24"/>
          <w:szCs w:val="24"/>
        </w:rPr>
        <w:t xml:space="preserve"> осуществляется депозитарием в соответствии с порядком, предусмотренным статьей 8.7. Федерального закона от 22.04.1996 N 39-ФЗ "О рынке ценных бумаг"</w:t>
      </w:r>
      <w:r w:rsidR="00D73EF7" w:rsidRPr="007A2034">
        <w:rPr>
          <w:rFonts w:ascii="Times New Roman" w:hAnsi="Times New Roman"/>
          <w:bCs/>
          <w:iCs/>
          <w:sz w:val="24"/>
          <w:szCs w:val="24"/>
        </w:rPr>
        <w:t>,</w:t>
      </w:r>
      <w:r w:rsidR="00DC5593" w:rsidRPr="007A2034">
        <w:t xml:space="preserve"> </w:t>
      </w:r>
      <w:r w:rsidR="00DC5593" w:rsidRPr="007A2034">
        <w:rPr>
          <w:rFonts w:ascii="Times New Roman" w:hAnsi="Times New Roman"/>
          <w:bCs/>
          <w:iCs/>
          <w:sz w:val="24"/>
          <w:szCs w:val="24"/>
        </w:rPr>
        <w:t xml:space="preserve">с особенностями в зависимости от способа учета прав на </w:t>
      </w:r>
      <w:r w:rsidR="00DF0041" w:rsidRPr="007A2034">
        <w:rPr>
          <w:rFonts w:ascii="Times New Roman" w:hAnsi="Times New Roman"/>
          <w:bCs/>
          <w:iCs/>
          <w:sz w:val="24"/>
          <w:szCs w:val="24"/>
        </w:rPr>
        <w:t xml:space="preserve">Биржевые </w:t>
      </w:r>
      <w:r w:rsidR="00DC5593" w:rsidRPr="007A2034">
        <w:rPr>
          <w:rFonts w:ascii="Times New Roman" w:hAnsi="Times New Roman"/>
          <w:bCs/>
          <w:iCs/>
          <w:sz w:val="24"/>
          <w:szCs w:val="24"/>
        </w:rPr>
        <w:t>облигации</w:t>
      </w:r>
      <w:r w:rsidRPr="007A2034">
        <w:rPr>
          <w:rFonts w:ascii="Times New Roman" w:hAnsi="Times New Roman"/>
          <w:bCs/>
          <w:iCs/>
          <w:sz w:val="24"/>
          <w:szCs w:val="24"/>
        </w:rPr>
        <w:t>.</w:t>
      </w:r>
    </w:p>
    <w:p w14:paraId="5BC72999" w14:textId="0E145C99" w:rsidR="004A295A" w:rsidRPr="007A2034" w:rsidRDefault="004A295A" w:rsidP="004A295A">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Если дата выплата купонного дохода по Биржевым облигациям приходится на нерабочий праздничный или выходной день, независимо от того, будет ли это государственный выходной день или выходной день для расчетных операций, то перечисление надлежащей суммы производится в первый рабочий день, следующий за нерабочим праздничным или выходным днем. Владелец Биржевых облигаций не имеет права требовать начисления процентов или какой-либо иной компенсации за такую задержку в платеже.</w:t>
      </w:r>
    </w:p>
    <w:p w14:paraId="6AFD12ED" w14:textId="5218702F" w:rsidR="00DF0041" w:rsidRPr="007A2034" w:rsidRDefault="00DF0041" w:rsidP="004A295A">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Выплата Дополнительного дохода по Биржевым облигациям не предусмотрена.</w:t>
      </w:r>
    </w:p>
    <w:p w14:paraId="51A4C7EB" w14:textId="0322C733" w:rsidR="00D91B7A" w:rsidRPr="007A2034" w:rsidRDefault="008B4101" w:rsidP="00762005">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w:t>
      </w:r>
      <w:r w:rsidR="00D91B7A" w:rsidRPr="007A2034">
        <w:rPr>
          <w:rFonts w:ascii="Times New Roman" w:hAnsi="Times New Roman"/>
          <w:b/>
          <w:bCs/>
          <w:i/>
          <w:iCs/>
          <w:sz w:val="24"/>
          <w:szCs w:val="24"/>
        </w:rPr>
        <w:t>.</w:t>
      </w:r>
      <w:r w:rsidRPr="007A2034">
        <w:rPr>
          <w:rFonts w:ascii="Times New Roman" w:hAnsi="Times New Roman"/>
          <w:b/>
          <w:bCs/>
          <w:i/>
          <w:iCs/>
          <w:sz w:val="24"/>
          <w:szCs w:val="24"/>
        </w:rPr>
        <w:t>6</w:t>
      </w:r>
      <w:r w:rsidR="00D91B7A" w:rsidRPr="007A2034">
        <w:rPr>
          <w:rFonts w:ascii="Times New Roman" w:hAnsi="Times New Roman"/>
          <w:b/>
          <w:bCs/>
          <w:i/>
          <w:iCs/>
          <w:sz w:val="24"/>
          <w:szCs w:val="24"/>
        </w:rPr>
        <w:t xml:space="preserve">. Порядок и условия досрочного погашения облигаций </w:t>
      </w:r>
    </w:p>
    <w:p w14:paraId="6A11AFC5" w14:textId="77777777" w:rsidR="00BC1474" w:rsidRPr="007A2034" w:rsidRDefault="00BC1474" w:rsidP="00762005">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Предусмотрена возможность досрочного погашения Биржевых облигаций по требованию их владельцев и по усмотрению Эмитента. </w:t>
      </w:r>
    </w:p>
    <w:p w14:paraId="3996656E" w14:textId="4017DCAB" w:rsidR="00D91B7A" w:rsidRPr="007A2034" w:rsidRDefault="00BC1474" w:rsidP="00762005">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Иные с</w:t>
      </w:r>
      <w:r w:rsidR="00D00A1A" w:rsidRPr="007A2034">
        <w:rPr>
          <w:rFonts w:ascii="Times New Roman" w:hAnsi="Times New Roman"/>
          <w:bCs/>
          <w:iCs/>
          <w:sz w:val="24"/>
          <w:szCs w:val="24"/>
        </w:rPr>
        <w:t>ведения, подлежащие указанию в настоящем пункте, приведены в п. 9.5 Программы</w:t>
      </w:r>
      <w:r w:rsidR="00D91B7A" w:rsidRPr="007A2034">
        <w:rPr>
          <w:rFonts w:ascii="Times New Roman" w:hAnsi="Times New Roman"/>
          <w:bCs/>
          <w:iCs/>
          <w:sz w:val="24"/>
          <w:szCs w:val="24"/>
        </w:rPr>
        <w:t>.</w:t>
      </w:r>
    </w:p>
    <w:p w14:paraId="59BDF0D8" w14:textId="6FCB91CF" w:rsidR="00D91B7A" w:rsidRPr="007A2034" w:rsidRDefault="00553D08" w:rsidP="00553D08">
      <w:pPr>
        <w:autoSpaceDE w:val="0"/>
        <w:autoSpaceDN w:val="0"/>
        <w:adjustRightInd w:val="0"/>
        <w:spacing w:before="120" w:after="120" w:line="240" w:lineRule="auto"/>
        <w:ind w:firstLine="567"/>
        <w:jc w:val="both"/>
        <w:rPr>
          <w:rFonts w:ascii="Times New Roman" w:hAnsi="Times New Roman"/>
          <w:b/>
          <w:bCs/>
          <w:i/>
          <w:iCs/>
          <w:sz w:val="24"/>
          <w:szCs w:val="24"/>
        </w:rPr>
      </w:pPr>
      <w:r w:rsidRPr="007A2034">
        <w:rPr>
          <w:rFonts w:ascii="Times New Roman" w:hAnsi="Times New Roman"/>
          <w:b/>
          <w:bCs/>
          <w:i/>
          <w:iCs/>
          <w:sz w:val="24"/>
          <w:szCs w:val="24"/>
        </w:rPr>
        <w:t>1)</w:t>
      </w:r>
      <w:r w:rsidR="00D91B7A" w:rsidRPr="007A2034">
        <w:rPr>
          <w:rFonts w:ascii="Times New Roman" w:hAnsi="Times New Roman"/>
          <w:b/>
          <w:bCs/>
          <w:i/>
          <w:iCs/>
          <w:sz w:val="24"/>
          <w:szCs w:val="24"/>
        </w:rPr>
        <w:t xml:space="preserve"> Досрочное погашение биржевых облигаций по требованию владельцев</w:t>
      </w:r>
    </w:p>
    <w:p w14:paraId="66CD7E09" w14:textId="77777777" w:rsidR="00D91B7A" w:rsidRPr="007A2034" w:rsidRDefault="00D91B7A" w:rsidP="00222C5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Предусмотрена возможность досрочного погашения Биржевых облигаций по требованию их владельцев в соответствии с п.</w:t>
      </w:r>
      <w:r w:rsidR="00762005" w:rsidRPr="007A2034">
        <w:rPr>
          <w:rFonts w:ascii="Times New Roman" w:hAnsi="Times New Roman"/>
          <w:bCs/>
          <w:iCs/>
          <w:sz w:val="24"/>
          <w:szCs w:val="24"/>
        </w:rPr>
        <w:t xml:space="preserve"> </w:t>
      </w:r>
      <w:r w:rsidRPr="007A2034">
        <w:rPr>
          <w:rFonts w:ascii="Times New Roman" w:hAnsi="Times New Roman"/>
          <w:bCs/>
          <w:iCs/>
          <w:sz w:val="24"/>
          <w:szCs w:val="24"/>
        </w:rPr>
        <w:t xml:space="preserve">9.5.1 Программы. </w:t>
      </w:r>
    </w:p>
    <w:p w14:paraId="08C18464" w14:textId="7D806651" w:rsidR="003A689F" w:rsidRPr="007A2034" w:rsidRDefault="00D91B7A" w:rsidP="00222C5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Требование (заявление) о досрочном погашении Биржевых облигаций направляется по правилам, установленным законодательством Российской Федерации</w:t>
      </w:r>
      <w:r w:rsidR="003A689F" w:rsidRPr="007A2034">
        <w:rPr>
          <w:rFonts w:ascii="Times New Roman" w:hAnsi="Times New Roman"/>
          <w:bCs/>
          <w:iCs/>
          <w:sz w:val="24"/>
          <w:szCs w:val="24"/>
        </w:rPr>
        <w:t>.</w:t>
      </w:r>
    </w:p>
    <w:p w14:paraId="63D7B02D" w14:textId="70C25EA5" w:rsidR="003436BE" w:rsidRPr="007A2034" w:rsidRDefault="003436BE" w:rsidP="00222C5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Лицо, осуществляющее права по ценным бумагам, если его права на ценные бумаги учитываются номинальным держателем, иностранным номинальным держателем, иностранной организацией, имеющей право в соответствии с ее личным законом осуществлять учет и переход прав на ценные бумаги, или лицом, осуществляющим централизованный учет прав на ценные бумаги, реализует право требовать погашения принадлежащих ему ценных бумаг путем дачи указаний (инструкций) таким организациям.</w:t>
      </w:r>
    </w:p>
    <w:p w14:paraId="49E388E0" w14:textId="5162CA8A" w:rsidR="003A689F" w:rsidRPr="007A2034" w:rsidRDefault="003A689F" w:rsidP="003A689F">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Со дня получения НРД или номинальным держателем Биржевых облигаций от владельца Биржевых облигаций указания (инструкции) о предъявлении Требования о досрочном погашении Биржевых облигаций и до дня внесения по счету НРД или номинального держателя записей, связанных с таким досрочным погашением, либо до дня получения информации об отзыве владельцем своего требования владелец не вправе распоряжаться Биржевыми облигациями, предъявленными для досрочного погашения, в том числе передавать их в залог либо обременять другими способами, о чем НРД и номинальный держатель без поручения владельца вносят запись об установлении этого ограничения по счету, на котором учитываются его права на Биржевые облигации. </w:t>
      </w:r>
    </w:p>
    <w:p w14:paraId="0F2CEE44" w14:textId="77777777" w:rsidR="008A3512" w:rsidRPr="007A2034" w:rsidRDefault="008A3512" w:rsidP="008A351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Владельцы и иные лица, осуществляющие в соответствии с федеральными законами права по Биржевым облигациям, получают причитающиеся им денежные выплаты в счет досрочного погашения Биржевых облигаций через депозитарий, осуществляющий учет прав на ценные бумаги, депонентами которого они являются. </w:t>
      </w:r>
    </w:p>
    <w:p w14:paraId="6F001432" w14:textId="49BD60EC" w:rsidR="008A3512" w:rsidRPr="007A2034" w:rsidRDefault="008A3512" w:rsidP="008A351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Эмитент исполняет обязанность по осуществлению денежных выплат в счет досрочного погашения Биржевых облигаций путем перечисления денежных средств НРД. Указанная обязанность считается исполненной Эмитентом с даты поступления денежных средств на счет НРД.</w:t>
      </w:r>
    </w:p>
    <w:p w14:paraId="7CD2BA31" w14:textId="77777777" w:rsidR="00D91B7A" w:rsidRPr="007A2034" w:rsidRDefault="00D91B7A" w:rsidP="003A689F">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Досрочное погашение Биржевых облигаций производится денежными средствами в рублях Российской Федерации в безналичном порядке.</w:t>
      </w:r>
    </w:p>
    <w:p w14:paraId="4E951926" w14:textId="2AA9B783" w:rsidR="00D91B7A" w:rsidRPr="007A2034" w:rsidRDefault="00D91B7A" w:rsidP="00222C5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Иные сведения о порядке и условиях досрочного погашения Биржевых облигаций по требованию их владельцев приведены в п.</w:t>
      </w:r>
      <w:r w:rsidR="00762005" w:rsidRPr="007A2034">
        <w:rPr>
          <w:rFonts w:ascii="Times New Roman" w:hAnsi="Times New Roman"/>
          <w:bCs/>
          <w:iCs/>
          <w:sz w:val="24"/>
          <w:szCs w:val="24"/>
        </w:rPr>
        <w:t xml:space="preserve"> </w:t>
      </w:r>
      <w:r w:rsidRPr="007A2034">
        <w:rPr>
          <w:rFonts w:ascii="Times New Roman" w:hAnsi="Times New Roman"/>
          <w:bCs/>
          <w:iCs/>
          <w:sz w:val="24"/>
          <w:szCs w:val="24"/>
        </w:rPr>
        <w:t>9.5.1 Программы.</w:t>
      </w:r>
    </w:p>
    <w:p w14:paraId="4BF1EFAF" w14:textId="2D5C3418" w:rsidR="003A689F" w:rsidRPr="007A2034" w:rsidRDefault="003A689F" w:rsidP="00222C5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Дополнительные случаи досрочного погашения Биржевых облигаций по требованию их владельцев не предусмотрены.</w:t>
      </w:r>
    </w:p>
    <w:p w14:paraId="1EC1CED9" w14:textId="642B8134" w:rsidR="00D91B7A" w:rsidRPr="007A2034" w:rsidRDefault="00B67C22" w:rsidP="00222C57">
      <w:pPr>
        <w:autoSpaceDE w:val="0"/>
        <w:autoSpaceDN w:val="0"/>
        <w:adjustRightInd w:val="0"/>
        <w:spacing w:before="120" w:after="120" w:line="240" w:lineRule="auto"/>
        <w:ind w:firstLine="540"/>
        <w:jc w:val="both"/>
        <w:rPr>
          <w:b/>
          <w:bCs/>
          <w:i/>
          <w:iCs/>
          <w:sz w:val="24"/>
          <w:szCs w:val="24"/>
        </w:rPr>
      </w:pPr>
      <w:r w:rsidRPr="007A2034">
        <w:rPr>
          <w:rFonts w:ascii="Times New Roman" w:hAnsi="Times New Roman"/>
          <w:b/>
          <w:bCs/>
          <w:i/>
          <w:iCs/>
          <w:sz w:val="24"/>
          <w:szCs w:val="24"/>
        </w:rPr>
        <w:t>2)</w:t>
      </w:r>
      <w:r w:rsidR="00D91B7A" w:rsidRPr="007A2034">
        <w:rPr>
          <w:rFonts w:ascii="Times New Roman" w:hAnsi="Times New Roman"/>
          <w:b/>
          <w:bCs/>
          <w:i/>
          <w:iCs/>
          <w:sz w:val="24"/>
          <w:szCs w:val="24"/>
        </w:rPr>
        <w:t xml:space="preserve"> Досрочное погашение биржевых облигаций по усмотрению эмитента</w:t>
      </w:r>
    </w:p>
    <w:p w14:paraId="0C292829" w14:textId="0E94AEB1" w:rsidR="00797E7E" w:rsidRPr="007A2034" w:rsidRDefault="00BC1474" w:rsidP="00797E7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Предусмотрена возможность досрочного </w:t>
      </w:r>
      <w:r w:rsidR="00DF0041" w:rsidRPr="007A2034">
        <w:rPr>
          <w:rFonts w:ascii="Times New Roman" w:hAnsi="Times New Roman"/>
          <w:bCs/>
          <w:iCs/>
          <w:sz w:val="24"/>
          <w:szCs w:val="24"/>
        </w:rPr>
        <w:t xml:space="preserve">(частичного досрочного) </w:t>
      </w:r>
      <w:r w:rsidRPr="007A2034">
        <w:rPr>
          <w:rFonts w:ascii="Times New Roman" w:hAnsi="Times New Roman"/>
          <w:bCs/>
          <w:iCs/>
          <w:sz w:val="24"/>
          <w:szCs w:val="24"/>
        </w:rPr>
        <w:t xml:space="preserve">погашения Биржевых облигаций по усмотрению Эмитента в соответствии с </w:t>
      </w:r>
      <w:r w:rsidR="00797E7E" w:rsidRPr="007A2034">
        <w:rPr>
          <w:rFonts w:ascii="Times New Roman" w:hAnsi="Times New Roman"/>
          <w:bCs/>
          <w:iCs/>
          <w:sz w:val="24"/>
          <w:szCs w:val="24"/>
        </w:rPr>
        <w:t>п. 9.5.2 Программы.</w:t>
      </w:r>
    </w:p>
    <w:p w14:paraId="21F671C1" w14:textId="02C2C09F" w:rsidR="00797E7E" w:rsidRPr="007A2034" w:rsidRDefault="00797E7E" w:rsidP="00B2070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Досрочное погашение </w:t>
      </w:r>
      <w:r w:rsidR="00557006" w:rsidRPr="007A2034">
        <w:rPr>
          <w:rFonts w:ascii="Times New Roman" w:hAnsi="Times New Roman"/>
          <w:bCs/>
          <w:iCs/>
          <w:sz w:val="24"/>
          <w:szCs w:val="24"/>
        </w:rPr>
        <w:t xml:space="preserve">(частичное досрочное погашение) </w:t>
      </w:r>
      <w:r w:rsidRPr="007A2034">
        <w:rPr>
          <w:rFonts w:ascii="Times New Roman" w:hAnsi="Times New Roman"/>
          <w:bCs/>
          <w:iCs/>
          <w:sz w:val="24"/>
          <w:szCs w:val="24"/>
        </w:rPr>
        <w:t>Биржевых облигаций производится денежными средствами в рублях Российской Федерации в безналичном порядке.</w:t>
      </w:r>
    </w:p>
    <w:p w14:paraId="7A278B26" w14:textId="17BFD40C" w:rsidR="008A3512" w:rsidRPr="007A2034" w:rsidRDefault="008A3512" w:rsidP="00B2070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Дополнительные случаи досрочного погашения по усмотрению Эмитента, к случаям, указанным в пункте 9.5.2 Программы, не установлены.</w:t>
      </w:r>
    </w:p>
    <w:p w14:paraId="2D7F5A8E" w14:textId="39A43DE1" w:rsidR="003436BE" w:rsidRPr="007A2034" w:rsidRDefault="003436BE" w:rsidP="00B20707">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Иные сведения о порядке и условиях досрочного погашения Биржевых облигаций по усмотрению эмитента приведены в п. 9.5.2 Программы.</w:t>
      </w:r>
    </w:p>
    <w:p w14:paraId="5ABD047F" w14:textId="09AE7124" w:rsidR="00B97F78" w:rsidRPr="007A2034" w:rsidRDefault="00B67C22" w:rsidP="00B97F78">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w:t>
      </w:r>
      <w:r w:rsidR="00B97F78" w:rsidRPr="007A2034">
        <w:rPr>
          <w:rFonts w:ascii="Times New Roman" w:hAnsi="Times New Roman"/>
          <w:b/>
          <w:bCs/>
          <w:i/>
          <w:iCs/>
          <w:sz w:val="24"/>
          <w:szCs w:val="24"/>
        </w:rPr>
        <w:t>.</w:t>
      </w:r>
      <w:r w:rsidRPr="007A2034">
        <w:rPr>
          <w:rFonts w:ascii="Times New Roman" w:hAnsi="Times New Roman"/>
          <w:b/>
          <w:bCs/>
          <w:i/>
          <w:iCs/>
          <w:sz w:val="24"/>
          <w:szCs w:val="24"/>
        </w:rPr>
        <w:t>7</w:t>
      </w:r>
      <w:r w:rsidR="00B97F78" w:rsidRPr="007A2034">
        <w:rPr>
          <w:rFonts w:ascii="Times New Roman" w:hAnsi="Times New Roman"/>
          <w:b/>
          <w:bCs/>
          <w:i/>
          <w:iCs/>
          <w:sz w:val="24"/>
          <w:szCs w:val="24"/>
        </w:rPr>
        <w:t>. Сведения о платежных агентах по облигациям</w:t>
      </w:r>
    </w:p>
    <w:p w14:paraId="206262DE" w14:textId="136F5158" w:rsidR="00B97F78" w:rsidRPr="007A2034" w:rsidRDefault="00CB1B5E" w:rsidP="00B97F78">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w:t>
      </w:r>
      <w:r w:rsidR="00B97F78" w:rsidRPr="007A2034">
        <w:rPr>
          <w:rFonts w:ascii="Times New Roman" w:hAnsi="Times New Roman"/>
          <w:bCs/>
          <w:iCs/>
          <w:sz w:val="24"/>
          <w:szCs w:val="24"/>
        </w:rPr>
        <w:t xml:space="preserve">латежный агент </w:t>
      </w:r>
      <w:r w:rsidRPr="007A2034">
        <w:rPr>
          <w:rFonts w:ascii="Times New Roman" w:hAnsi="Times New Roman"/>
          <w:bCs/>
          <w:iCs/>
          <w:sz w:val="24"/>
          <w:szCs w:val="24"/>
        </w:rPr>
        <w:t xml:space="preserve">по Биржевым облигациям </w:t>
      </w:r>
      <w:r w:rsidR="00B97F78" w:rsidRPr="007A2034">
        <w:rPr>
          <w:rFonts w:ascii="Times New Roman" w:hAnsi="Times New Roman"/>
          <w:bCs/>
          <w:iCs/>
          <w:sz w:val="24"/>
          <w:szCs w:val="24"/>
        </w:rPr>
        <w:t xml:space="preserve">не </w:t>
      </w:r>
      <w:r w:rsidRPr="007A2034">
        <w:rPr>
          <w:rFonts w:ascii="Times New Roman" w:hAnsi="Times New Roman"/>
          <w:bCs/>
          <w:iCs/>
          <w:sz w:val="24"/>
          <w:szCs w:val="24"/>
        </w:rPr>
        <w:t>привлекается</w:t>
      </w:r>
      <w:r w:rsidR="00B97F78" w:rsidRPr="007A2034">
        <w:rPr>
          <w:rFonts w:ascii="Times New Roman" w:hAnsi="Times New Roman"/>
          <w:bCs/>
          <w:iCs/>
          <w:sz w:val="24"/>
          <w:szCs w:val="24"/>
        </w:rPr>
        <w:t>.</w:t>
      </w:r>
    </w:p>
    <w:p w14:paraId="0437252F" w14:textId="43A70DEF" w:rsidR="00B67C22" w:rsidRPr="007A2034" w:rsidRDefault="00B67C22" w:rsidP="00B97F78">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Погашение и выплата доходов по Биржевым облигациям осуществляются Эмитентом самостоятельно.</w:t>
      </w:r>
    </w:p>
    <w:p w14:paraId="0D113722"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Эмитент может назначать платежных агентов и отменять такие назначения: </w:t>
      </w:r>
    </w:p>
    <w:p w14:paraId="687CD19D"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w:t>
      </w:r>
      <w:r w:rsidRPr="007A2034">
        <w:rPr>
          <w:rFonts w:ascii="Times New Roman" w:hAnsi="Times New Roman"/>
          <w:bCs/>
          <w:iCs/>
          <w:sz w:val="24"/>
          <w:szCs w:val="24"/>
        </w:rPr>
        <w:tab/>
        <w:t xml:space="preserve">при осуществлении досрочного погашения Биржевых облигаций по требованию их владельцев в соответствии с п. 9.5.1 Программы; </w:t>
      </w:r>
    </w:p>
    <w:p w14:paraId="17827211"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w:t>
      </w:r>
      <w:r w:rsidRPr="007A2034">
        <w:rPr>
          <w:rFonts w:ascii="Times New Roman" w:hAnsi="Times New Roman"/>
          <w:bCs/>
          <w:iCs/>
          <w:sz w:val="24"/>
          <w:szCs w:val="24"/>
        </w:rPr>
        <w:tab/>
        <w:t>при осуществлении платежей в пользу владельцев Биржевых облигаций в соответствующих случаях, указанных в п. 9.7 Программы.</w:t>
      </w:r>
    </w:p>
    <w:p w14:paraId="025EBD96"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Эмитент не может одновременно назначить нескольких платежных агентов по Выпуску Биржевых облигаций.</w:t>
      </w:r>
    </w:p>
    <w:p w14:paraId="079BDAF1"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Порядок раскрытия информации о таких действиях:</w:t>
      </w:r>
    </w:p>
    <w:p w14:paraId="012B12EB"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Информация о назначении Эмитентом платежного агента и отмене таких назначений/изменений раскрывается Эмитентом в форме сообщения о существенном факте в соответствии с нормативными актами в сфере финансовых рынков в следующие сроки с даты совершения таких назначений либо их изменений:</w:t>
      </w:r>
    </w:p>
    <w:p w14:paraId="73B3228B" w14:textId="66E1E59D" w:rsidR="003436BE" w:rsidRPr="007A2034" w:rsidRDefault="003436BE" w:rsidP="001A4103">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в Ленте новост</w:t>
      </w:r>
      <w:r w:rsidR="001A4103" w:rsidRPr="007A2034">
        <w:rPr>
          <w:rFonts w:ascii="Times New Roman" w:hAnsi="Times New Roman"/>
          <w:bCs/>
          <w:iCs/>
          <w:sz w:val="24"/>
          <w:szCs w:val="24"/>
        </w:rPr>
        <w:t>ей – не позднее 1 (Одного) рабочего дня</w:t>
      </w:r>
      <w:r w:rsidRPr="007A2034">
        <w:rPr>
          <w:rFonts w:ascii="Times New Roman" w:hAnsi="Times New Roman"/>
          <w:bCs/>
          <w:iCs/>
          <w:sz w:val="24"/>
          <w:szCs w:val="24"/>
        </w:rPr>
        <w:t>.</w:t>
      </w:r>
    </w:p>
    <w:p w14:paraId="0B5800A4" w14:textId="507FA021" w:rsidR="00CB1B5E" w:rsidRPr="007A2034" w:rsidRDefault="00CB1B5E" w:rsidP="00B67C22">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5.8. Прекращение обязательств кредитной организации - эмитента по выплате суммы основного долга и невыплаченного процента (купона) по облигациям, а также по финансовым санкциям за неисполнение обязательств по облигациям</w:t>
      </w:r>
    </w:p>
    <w:p w14:paraId="3F96B962" w14:textId="208E3A1C" w:rsidR="00B67C22" w:rsidRPr="007A2034" w:rsidRDefault="00B67C22" w:rsidP="00B67C22">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5.8.1. Прекращение обязательств по облигациям</w:t>
      </w:r>
    </w:p>
    <w:p w14:paraId="1452CDA7" w14:textId="77777777"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Прекращение обязательств по Биржевым облигациям не предусмотрено.</w:t>
      </w:r>
    </w:p>
    <w:p w14:paraId="47A84C78" w14:textId="44485B4E" w:rsidR="00B67C22" w:rsidRPr="007A2034" w:rsidRDefault="00B67C22" w:rsidP="00B67C22">
      <w:pPr>
        <w:autoSpaceDE w:val="0"/>
        <w:autoSpaceDN w:val="0"/>
        <w:adjustRightInd w:val="0"/>
        <w:spacing w:before="120" w:after="120" w:line="240" w:lineRule="auto"/>
        <w:ind w:firstLine="540"/>
        <w:jc w:val="both"/>
        <w:rPr>
          <w:rFonts w:ascii="Times New Roman" w:hAnsi="Times New Roman"/>
          <w:b/>
          <w:bCs/>
          <w:i/>
          <w:iCs/>
          <w:sz w:val="24"/>
          <w:szCs w:val="24"/>
        </w:rPr>
      </w:pPr>
      <w:r w:rsidRPr="007A2034">
        <w:rPr>
          <w:rFonts w:ascii="Times New Roman" w:hAnsi="Times New Roman"/>
          <w:b/>
          <w:bCs/>
          <w:i/>
          <w:iCs/>
          <w:sz w:val="24"/>
          <w:szCs w:val="24"/>
        </w:rPr>
        <w:t>5.8.2. Прощение долга по облигациям субординированного облигационного займа</w:t>
      </w:r>
    </w:p>
    <w:p w14:paraId="5C33CD70" w14:textId="1E8A7867"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Прощение долга по Биржевым облигациям не предусмотрено.</w:t>
      </w:r>
    </w:p>
    <w:p w14:paraId="7B58C55B" w14:textId="0386AFE3" w:rsidR="00B97F78" w:rsidRPr="007A2034" w:rsidRDefault="00B67C22" w:rsidP="00B97F78">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6</w:t>
      </w:r>
      <w:r w:rsidR="00B97F78" w:rsidRPr="007A2034">
        <w:rPr>
          <w:rFonts w:ascii="Times New Roman" w:hAnsi="Times New Roman"/>
          <w:b/>
          <w:bCs/>
          <w:iCs/>
          <w:sz w:val="24"/>
          <w:szCs w:val="24"/>
        </w:rPr>
        <w:t>. Сведения о приобретении облигаций</w:t>
      </w:r>
    </w:p>
    <w:p w14:paraId="2AA02A21" w14:textId="77777777" w:rsidR="002422F3" w:rsidRPr="007A2034" w:rsidRDefault="00F11F97" w:rsidP="002422F3">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Приобретение Эмитентом Биржевых облигаций по требованию их владельцев и приобретение Эмитентом Биржевых облигаций по соглашению с их владельцем (владельцами) в отношении Биржевых облигаций настоящего выпуска не предусмотрено. </w:t>
      </w:r>
    </w:p>
    <w:p w14:paraId="7C0AE3C1" w14:textId="2FA6309A" w:rsidR="00B67C22" w:rsidRPr="007A2034" w:rsidRDefault="00B67C22" w:rsidP="00B67C22">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7. Сведения об обеспечении исполнения обяза</w:t>
      </w:r>
      <w:r w:rsidR="00AA0AB4" w:rsidRPr="007A2034">
        <w:rPr>
          <w:rFonts w:ascii="Times New Roman" w:hAnsi="Times New Roman"/>
          <w:b/>
          <w:bCs/>
          <w:iCs/>
          <w:sz w:val="24"/>
          <w:szCs w:val="24"/>
        </w:rPr>
        <w:t>тельств по облигациям выпуска</w:t>
      </w:r>
      <w:r w:rsidRPr="007A2034">
        <w:rPr>
          <w:rFonts w:ascii="Times New Roman" w:hAnsi="Times New Roman"/>
          <w:b/>
          <w:bCs/>
          <w:iCs/>
          <w:sz w:val="24"/>
          <w:szCs w:val="24"/>
        </w:rPr>
        <w:t xml:space="preserve"> </w:t>
      </w:r>
    </w:p>
    <w:p w14:paraId="48D04EDC" w14:textId="77777777"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Предоставление обеспечения исполнения обязательств по Биржевым облигациям не предусмотрено. </w:t>
      </w:r>
    </w:p>
    <w:p w14:paraId="7A6E2F66" w14:textId="4CEA556D" w:rsidR="00B67C22" w:rsidRPr="007A2034" w:rsidRDefault="00B67C22" w:rsidP="00B67C22">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8. Условия целевого использования денежных средств, пол</w:t>
      </w:r>
      <w:r w:rsidR="00AA0AB4" w:rsidRPr="007A2034">
        <w:rPr>
          <w:rFonts w:ascii="Times New Roman" w:hAnsi="Times New Roman"/>
          <w:b/>
          <w:bCs/>
          <w:iCs/>
          <w:sz w:val="24"/>
          <w:szCs w:val="24"/>
        </w:rPr>
        <w:t>ученных от размещения облигаций</w:t>
      </w:r>
    </w:p>
    <w:p w14:paraId="701D6851" w14:textId="77777777"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Целевое использования денежных средств, полученных от размещения Биржевых облигаций не предусмотрено.</w:t>
      </w:r>
    </w:p>
    <w:p w14:paraId="394D1DE0"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Эмитент не идентифицирует Биржевые облигации как «зеленые облигации».</w:t>
      </w:r>
    </w:p>
    <w:p w14:paraId="5E7FFA6E" w14:textId="77777777"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Эмитент не идентифицирует Биржевые облигации как «социальные облигации».</w:t>
      </w:r>
    </w:p>
    <w:p w14:paraId="66CF4818" w14:textId="6EB748EA" w:rsidR="003436BE" w:rsidRPr="007A2034" w:rsidRDefault="003436BE" w:rsidP="003436BE">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Эмитент не идентифицирует Биржевые облигации как «инфраструктурные облигации».</w:t>
      </w:r>
    </w:p>
    <w:p w14:paraId="3337ECD4" w14:textId="708764DC" w:rsidR="00B67C22" w:rsidRPr="007A2034" w:rsidRDefault="00B67C22" w:rsidP="00B67C22">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9. Сведения о пре</w:t>
      </w:r>
      <w:r w:rsidR="00AA0AB4" w:rsidRPr="007A2034">
        <w:rPr>
          <w:rFonts w:ascii="Times New Roman" w:hAnsi="Times New Roman"/>
          <w:b/>
          <w:bCs/>
          <w:iCs/>
          <w:sz w:val="24"/>
          <w:szCs w:val="24"/>
        </w:rPr>
        <w:t>дставителе владельцев облигаций</w:t>
      </w:r>
      <w:r w:rsidRPr="007A2034">
        <w:rPr>
          <w:rFonts w:ascii="Times New Roman" w:hAnsi="Times New Roman"/>
          <w:b/>
          <w:bCs/>
          <w:iCs/>
          <w:sz w:val="24"/>
          <w:szCs w:val="24"/>
        </w:rPr>
        <w:t xml:space="preserve"> </w:t>
      </w:r>
    </w:p>
    <w:p w14:paraId="03854F2B" w14:textId="77777777"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Представитель владельцев Биржевых облигаций на дату подписания Решения о выпуске не определен.  </w:t>
      </w:r>
    </w:p>
    <w:p w14:paraId="2C3AE968" w14:textId="4ED86E1B" w:rsidR="00B67C22" w:rsidRPr="007A2034" w:rsidRDefault="00AA0AB4" w:rsidP="00B67C22">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10. Обязательство эмитента</w:t>
      </w:r>
    </w:p>
    <w:p w14:paraId="6B190AE1" w14:textId="148AF982"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Эмитент обязуется обеспечить права владельцев </w:t>
      </w:r>
      <w:r w:rsidR="003436BE" w:rsidRPr="007A2034">
        <w:rPr>
          <w:rFonts w:ascii="Times New Roman" w:hAnsi="Times New Roman"/>
          <w:bCs/>
          <w:iCs/>
          <w:sz w:val="24"/>
          <w:szCs w:val="24"/>
        </w:rPr>
        <w:t>Биржевых облигаций</w:t>
      </w:r>
      <w:r w:rsidRPr="007A2034">
        <w:rPr>
          <w:rFonts w:ascii="Times New Roman" w:hAnsi="Times New Roman"/>
          <w:bCs/>
          <w:iCs/>
          <w:sz w:val="24"/>
          <w:szCs w:val="24"/>
        </w:rPr>
        <w:t xml:space="preserve"> при соблюдении ими установленного законодательством Российской Федерации порядка осуществления этих прав.</w:t>
      </w:r>
    </w:p>
    <w:p w14:paraId="3AC33A3F" w14:textId="35B34A1E" w:rsidR="00B67C22" w:rsidRPr="007A2034" w:rsidRDefault="00B67C22" w:rsidP="00B67C22">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11. Обязательство лиц, предостав</w:t>
      </w:r>
      <w:r w:rsidR="00AA0AB4" w:rsidRPr="007A2034">
        <w:rPr>
          <w:rFonts w:ascii="Times New Roman" w:hAnsi="Times New Roman"/>
          <w:b/>
          <w:bCs/>
          <w:iCs/>
          <w:sz w:val="24"/>
          <w:szCs w:val="24"/>
        </w:rPr>
        <w:t>ивших обеспечение по облигациям</w:t>
      </w:r>
    </w:p>
    <w:p w14:paraId="61164B63" w14:textId="6E9E5AED" w:rsidR="00B67C22" w:rsidRPr="007A2034" w:rsidRDefault="00B67C22" w:rsidP="00B67C22">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Предоставление обеспечения не предусмотрено.</w:t>
      </w:r>
    </w:p>
    <w:p w14:paraId="2B608C70" w14:textId="190B4A85" w:rsidR="00B67C22" w:rsidRPr="007A2034" w:rsidRDefault="00AA0AB4" w:rsidP="00B67C22">
      <w:pPr>
        <w:autoSpaceDE w:val="0"/>
        <w:autoSpaceDN w:val="0"/>
        <w:adjustRightInd w:val="0"/>
        <w:spacing w:before="120" w:after="120" w:line="240" w:lineRule="auto"/>
        <w:ind w:firstLine="540"/>
        <w:jc w:val="both"/>
        <w:rPr>
          <w:rFonts w:ascii="Times New Roman" w:hAnsi="Times New Roman"/>
          <w:b/>
          <w:bCs/>
          <w:iCs/>
          <w:sz w:val="24"/>
          <w:szCs w:val="24"/>
        </w:rPr>
      </w:pPr>
      <w:r w:rsidRPr="007A2034">
        <w:rPr>
          <w:rFonts w:ascii="Times New Roman" w:hAnsi="Times New Roman"/>
          <w:b/>
          <w:bCs/>
          <w:iCs/>
          <w:sz w:val="24"/>
          <w:szCs w:val="24"/>
        </w:rPr>
        <w:t>12. Иные сведения</w:t>
      </w:r>
      <w:r w:rsidR="00B67C22" w:rsidRPr="007A2034">
        <w:rPr>
          <w:rFonts w:ascii="Times New Roman" w:hAnsi="Times New Roman"/>
          <w:b/>
          <w:bCs/>
          <w:iCs/>
          <w:sz w:val="24"/>
          <w:szCs w:val="24"/>
        </w:rPr>
        <w:t xml:space="preserve"> </w:t>
      </w:r>
    </w:p>
    <w:p w14:paraId="664335F6" w14:textId="788A69AA" w:rsidR="0024242B" w:rsidRPr="007A2034" w:rsidRDefault="00B67C22" w:rsidP="00C76D1F">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Иные сведения, подлежащие включению в Решение о выпуске в соответствии с Положением Банка России от 19.12.2019 № 706-П «О стандартах эмиссии ценных бумаг», </w:t>
      </w:r>
      <w:r w:rsidR="0024242B" w:rsidRPr="007A2034">
        <w:rPr>
          <w:rFonts w:ascii="Times New Roman" w:hAnsi="Times New Roman"/>
          <w:bCs/>
          <w:iCs/>
          <w:sz w:val="24"/>
          <w:szCs w:val="24"/>
        </w:rPr>
        <w:t>а также</w:t>
      </w:r>
      <w:r w:rsidRPr="007A2034">
        <w:rPr>
          <w:rFonts w:ascii="Times New Roman" w:hAnsi="Times New Roman"/>
          <w:bCs/>
          <w:iCs/>
          <w:sz w:val="24"/>
          <w:szCs w:val="24"/>
        </w:rPr>
        <w:t xml:space="preserve"> иные сведения, раскрываемые Эмитентом по собственному усмотрению, указаны в Программе.</w:t>
      </w:r>
    </w:p>
    <w:p w14:paraId="05AE9617" w14:textId="28C962F0" w:rsidR="0024242B" w:rsidRPr="007A2034" w:rsidRDefault="0024242B" w:rsidP="00F7495D">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Приобретатель Биржевых облигаций самостоятельно оценивает и несет риск того, что его личный закон, запрет или иное ограничение, наложенные государственными или иными уполномоченными органами могут запрещать ему инвестировать денежные средства в Биржевые облигации или личный закон кредитной организации, в которой такое лицо открывает банковский счет или личный закон кредитной организации, по корреспондентскому счету которой должны пройти выплаты доходов по Биржевым облигациям в денежной форме и иные причитающиеся владельцу таких ценных бумаг денежные выплаты, либо запрет или иное ограничение, наложенные государственными или иными уполномоченными органами, могут запрещать таким кредитным организациям участвовать в переводе средств, предназначенных для указанных выплат по Биржевым облигациям.</w:t>
      </w:r>
    </w:p>
    <w:p w14:paraId="7360B905" w14:textId="77777777" w:rsidR="0024242B" w:rsidRPr="007A2034" w:rsidRDefault="0024242B" w:rsidP="00F7495D">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 xml:space="preserve">Приобретатель Биржевых облигаций самостоятельно оценивает и несет риск того, что личный закон депозитария, в котором ему открыт счет депо, предназначенный для учета прав на Биржевые облигации или личный закон депозитария, по счету депо которого должна пройти транзакция Биржевых облигаций, либо запрет или иное ограничение, наложенные государственными или иными уполномоченными органами, могут запрещать данному депозитарию содействовать финансированию в Биржевые облигации Эмитента. </w:t>
      </w:r>
    </w:p>
    <w:p w14:paraId="179511D3" w14:textId="02438562" w:rsidR="004F5E78" w:rsidRPr="00B61BE1" w:rsidRDefault="0024242B" w:rsidP="00F7495D">
      <w:pPr>
        <w:autoSpaceDE w:val="0"/>
        <w:autoSpaceDN w:val="0"/>
        <w:adjustRightInd w:val="0"/>
        <w:spacing w:before="120" w:after="120" w:line="240" w:lineRule="auto"/>
        <w:ind w:firstLine="540"/>
        <w:jc w:val="both"/>
        <w:rPr>
          <w:rFonts w:ascii="Times New Roman" w:hAnsi="Times New Roman"/>
          <w:bCs/>
          <w:iCs/>
          <w:sz w:val="24"/>
          <w:szCs w:val="24"/>
        </w:rPr>
      </w:pPr>
      <w:r w:rsidRPr="007A2034">
        <w:rPr>
          <w:rFonts w:ascii="Times New Roman" w:hAnsi="Times New Roman"/>
          <w:bCs/>
          <w:iCs/>
          <w:sz w:val="24"/>
          <w:szCs w:val="24"/>
        </w:rPr>
        <w:t>Депозитарий и депонент самостоятельно оценивают и несут риск того, что личный закон кредитной организации, в которой им открыт валютный банковский счет в валюте, в которой производятся расчеты по Биржевым облигациям, или личный закон кредитной организации, по корреспондентскому счету которой должны пройти выплаты доходов по Биржевым облигациям в денежной форме и иные причитающиеся владельцам таких ценных бумаг денежные выплаты, либо запрет или иное ограничение, наложенные государственными или иными уполномоченными органами, могут запрещать такой кредитной организации участвовать в переводе средств, предназначенных для указанных выплат по Биржевым облигациям.</w:t>
      </w:r>
    </w:p>
    <w:sectPr w:rsidR="004F5E78" w:rsidRPr="00B61BE1" w:rsidSect="00BC00AC">
      <w:headerReference w:type="default" r:id="rId8"/>
      <w:footerReference w:type="default" r:id="rId9"/>
      <w:pgSz w:w="11907" w:h="16839" w:code="9"/>
      <w:pgMar w:top="709" w:right="851" w:bottom="851" w:left="1134" w:header="283" w:footer="283" w:gutter="0"/>
      <w:pgNumType w:start="1"/>
      <w:cols w:space="720"/>
      <w:noEndnote/>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78EC5" w16cex:dateUtc="2021-11-23T13:01:00Z"/>
  <w16cex:commentExtensible w16cex:durableId="25479179" w16cex:dateUtc="2021-11-23T13:12:00Z"/>
  <w16cex:commentExtensible w16cex:durableId="254F5F43" w16cex:dateUtc="2021-11-29T11:16:00Z"/>
  <w16cex:commentExtensible w16cex:durableId="254F5FC6" w16cex:dateUtc="2021-11-29T11:18:00Z"/>
  <w16cex:commentExtensible w16cex:durableId="2547932F" w16cex:dateUtc="2021-11-23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867CA2" w16cid:durableId="25478EC5"/>
  <w16cid:commentId w16cid:paraId="293934D9" w16cid:durableId="25479179"/>
  <w16cid:commentId w16cid:paraId="5D835BFB" w16cid:durableId="254F5F43"/>
  <w16cid:commentId w16cid:paraId="378910B8" w16cid:durableId="254F5FC6"/>
  <w16cid:commentId w16cid:paraId="1E224DC0" w16cid:durableId="254793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701FF" w14:textId="77777777" w:rsidR="000E5E67" w:rsidRDefault="000E5E67" w:rsidP="00B97F78">
      <w:pPr>
        <w:spacing w:after="0" w:line="240" w:lineRule="auto"/>
      </w:pPr>
      <w:r>
        <w:separator/>
      </w:r>
    </w:p>
  </w:endnote>
  <w:endnote w:type="continuationSeparator" w:id="0">
    <w:p w14:paraId="6075C8B8" w14:textId="77777777" w:rsidR="000E5E67" w:rsidRDefault="000E5E67" w:rsidP="00B97F78">
      <w:pPr>
        <w:spacing w:after="0" w:line="240" w:lineRule="auto"/>
      </w:pPr>
      <w:r>
        <w:continuationSeparator/>
      </w:r>
    </w:p>
  </w:endnote>
  <w:endnote w:type="continuationNotice" w:id="1">
    <w:p w14:paraId="62340CEB" w14:textId="77777777" w:rsidR="000E5E67" w:rsidRDefault="000E5E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374E4" w14:textId="39CA5A31" w:rsidR="00BC1474" w:rsidRPr="00C12901" w:rsidRDefault="00BC1474" w:rsidP="00C13697">
    <w:pPr>
      <w:pStyle w:val="ac"/>
      <w:jc w:val="center"/>
      <w:rPr>
        <w:rFonts w:ascii="Times New Roman" w:hAnsi="Times New Roman"/>
        <w:sz w:val="24"/>
        <w:szCs w:val="24"/>
      </w:rPr>
    </w:pPr>
    <w:r w:rsidRPr="00C12901">
      <w:rPr>
        <w:rFonts w:ascii="Times New Roman" w:hAnsi="Times New Roman"/>
        <w:sz w:val="24"/>
        <w:szCs w:val="24"/>
      </w:rPr>
      <w:fldChar w:fldCharType="begin"/>
    </w:r>
    <w:r w:rsidRPr="00C12901">
      <w:rPr>
        <w:rFonts w:ascii="Times New Roman" w:hAnsi="Times New Roman"/>
        <w:sz w:val="24"/>
        <w:szCs w:val="24"/>
      </w:rPr>
      <w:instrText>PAGE   \* MERGEFORMAT</w:instrText>
    </w:r>
    <w:r w:rsidRPr="00C12901">
      <w:rPr>
        <w:rFonts w:ascii="Times New Roman" w:hAnsi="Times New Roman"/>
        <w:sz w:val="24"/>
        <w:szCs w:val="24"/>
      </w:rPr>
      <w:fldChar w:fldCharType="separate"/>
    </w:r>
    <w:r w:rsidR="00E22580">
      <w:rPr>
        <w:rFonts w:ascii="Times New Roman" w:hAnsi="Times New Roman"/>
        <w:noProof/>
        <w:sz w:val="24"/>
        <w:szCs w:val="24"/>
      </w:rPr>
      <w:t>2</w:t>
    </w:r>
    <w:r w:rsidRPr="00C12901">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57332" w14:textId="77777777" w:rsidR="000E5E67" w:rsidRDefault="000E5E67" w:rsidP="00B97F78">
      <w:pPr>
        <w:spacing w:after="0" w:line="240" w:lineRule="auto"/>
      </w:pPr>
      <w:r>
        <w:separator/>
      </w:r>
    </w:p>
  </w:footnote>
  <w:footnote w:type="continuationSeparator" w:id="0">
    <w:p w14:paraId="41EBF9BE" w14:textId="77777777" w:rsidR="000E5E67" w:rsidRDefault="000E5E67" w:rsidP="00B97F78">
      <w:pPr>
        <w:spacing w:after="0" w:line="240" w:lineRule="auto"/>
      </w:pPr>
      <w:r>
        <w:continuationSeparator/>
      </w:r>
    </w:p>
  </w:footnote>
  <w:footnote w:type="continuationNotice" w:id="1">
    <w:p w14:paraId="5AF9C0A5" w14:textId="77777777" w:rsidR="000E5E67" w:rsidRDefault="000E5E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02398" w14:textId="77777777" w:rsidR="00BC1474" w:rsidRPr="0096612E" w:rsidRDefault="00BC1474" w:rsidP="00C13697">
    <w:pPr>
      <w:pStyle w:val="aa"/>
      <w:spacing w:after="0" w:line="240" w:lineRule="auto"/>
      <w:jc w:val="right"/>
      <w:rPr>
        <w:rFonts w:ascii="Times New Roman" w:hAnsi="Times New Roman"/>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3F6490"/>
    <w:multiLevelType w:val="hybridMultilevel"/>
    <w:tmpl w:val="204029E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DCD7994"/>
    <w:multiLevelType w:val="hybridMultilevel"/>
    <w:tmpl w:val="547F3E2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A9294E12"/>
    <w:multiLevelType w:val="hybridMultilevel"/>
    <w:tmpl w:val="A4DAD89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F7FAA64"/>
    <w:multiLevelType w:val="hybridMultilevel"/>
    <w:tmpl w:val="1DB36DE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D667095"/>
    <w:multiLevelType w:val="hybridMultilevel"/>
    <w:tmpl w:val="2C7C743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BFC6FC8F"/>
    <w:multiLevelType w:val="hybridMultilevel"/>
    <w:tmpl w:val="C2D7F6A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C1DEEF0E"/>
    <w:multiLevelType w:val="hybridMultilevel"/>
    <w:tmpl w:val="8C11C69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D4242618"/>
    <w:multiLevelType w:val="hybridMultilevel"/>
    <w:tmpl w:val="47D56AF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D4DBC741"/>
    <w:multiLevelType w:val="hybridMultilevel"/>
    <w:tmpl w:val="10B6474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D6DB0205"/>
    <w:multiLevelType w:val="hybridMultilevel"/>
    <w:tmpl w:val="56A7163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F25B1ECA"/>
    <w:multiLevelType w:val="hybridMultilevel"/>
    <w:tmpl w:val="725D651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F3B05FE2"/>
    <w:multiLevelType w:val="hybridMultilevel"/>
    <w:tmpl w:val="E8EC4A5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F5943A93"/>
    <w:multiLevelType w:val="hybridMultilevel"/>
    <w:tmpl w:val="0B1F2EB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1566CDD"/>
    <w:multiLevelType w:val="hybridMultilevel"/>
    <w:tmpl w:val="EDAEBCD0"/>
    <w:lvl w:ilvl="0" w:tplc="1A00BB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072E21A8"/>
    <w:multiLevelType w:val="hybridMultilevel"/>
    <w:tmpl w:val="F244A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71146D"/>
    <w:multiLevelType w:val="hybridMultilevel"/>
    <w:tmpl w:val="F0E89CF6"/>
    <w:lvl w:ilvl="0" w:tplc="184A1B84">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6" w15:restartNumberingAfterBreak="0">
    <w:nsid w:val="0EC6789D"/>
    <w:multiLevelType w:val="hybridMultilevel"/>
    <w:tmpl w:val="DFD697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FE21417"/>
    <w:multiLevelType w:val="hybridMultilevel"/>
    <w:tmpl w:val="94B8C418"/>
    <w:lvl w:ilvl="0" w:tplc="3F201E7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8" w15:restartNumberingAfterBreak="0">
    <w:nsid w:val="14ADFB2A"/>
    <w:multiLevelType w:val="hybridMultilevel"/>
    <w:tmpl w:val="647B3B7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1E05A7F8"/>
    <w:multiLevelType w:val="hybridMultilevel"/>
    <w:tmpl w:val="835C40C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1E54450F"/>
    <w:multiLevelType w:val="hybridMultilevel"/>
    <w:tmpl w:val="39F83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632A3D"/>
    <w:multiLevelType w:val="hybridMultilevel"/>
    <w:tmpl w:val="39F83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D46D72"/>
    <w:multiLevelType w:val="hybridMultilevel"/>
    <w:tmpl w:val="4E28D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D76A6"/>
    <w:multiLevelType w:val="hybridMultilevel"/>
    <w:tmpl w:val="28105F14"/>
    <w:lvl w:ilvl="0" w:tplc="CFC2FF3E">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15:restartNumberingAfterBreak="0">
    <w:nsid w:val="34264A81"/>
    <w:multiLevelType w:val="hybridMultilevel"/>
    <w:tmpl w:val="F0E89CF6"/>
    <w:lvl w:ilvl="0" w:tplc="184A1B84">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5" w15:restartNumberingAfterBreak="0">
    <w:nsid w:val="3753966A"/>
    <w:multiLevelType w:val="hybridMultilevel"/>
    <w:tmpl w:val="FF8C80B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3B31177C"/>
    <w:multiLevelType w:val="hybridMultilevel"/>
    <w:tmpl w:val="3578B554"/>
    <w:lvl w:ilvl="0" w:tplc="ED6CD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CF6716B"/>
    <w:multiLevelType w:val="hybridMultilevel"/>
    <w:tmpl w:val="2D380E8E"/>
    <w:lvl w:ilvl="0" w:tplc="C2724818">
      <w:start w:val="1"/>
      <w:numFmt w:val="low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8" w15:restartNumberingAfterBreak="0">
    <w:nsid w:val="41C56D50"/>
    <w:multiLevelType w:val="hybridMultilevel"/>
    <w:tmpl w:val="29CC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6A416A"/>
    <w:multiLevelType w:val="hybridMultilevel"/>
    <w:tmpl w:val="07C2E188"/>
    <w:lvl w:ilvl="0" w:tplc="D382C1B6">
      <w:start w:val="1"/>
      <w:numFmt w:val="decimal"/>
      <w:lvlText w:val="%1)"/>
      <w:lvlJc w:val="left"/>
      <w:pPr>
        <w:ind w:left="1260" w:hanging="360"/>
      </w:pPr>
      <w:rPr>
        <w:rFonts w:hint="default"/>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4A630ACD"/>
    <w:multiLevelType w:val="hybridMultilevel"/>
    <w:tmpl w:val="20907B48"/>
    <w:lvl w:ilvl="0" w:tplc="ED6CD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D37D15"/>
    <w:multiLevelType w:val="hybridMultilevel"/>
    <w:tmpl w:val="9E906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80342A"/>
    <w:multiLevelType w:val="hybridMultilevel"/>
    <w:tmpl w:val="DDA0DF18"/>
    <w:lvl w:ilvl="0" w:tplc="FFFFFFFF">
      <w:start w:val="1"/>
      <w:numFmt w:val="bullet"/>
      <w:lvlText w:val="-"/>
      <w:lvlJc w:val="left"/>
      <w:pPr>
        <w:tabs>
          <w:tab w:val="num" w:pos="775"/>
        </w:tabs>
        <w:ind w:left="775" w:hanging="360"/>
      </w:pPr>
      <w:rPr>
        <w:rFonts w:ascii="Times New Roman" w:hAnsi="Times New Roman" w:hint="default"/>
      </w:rPr>
    </w:lvl>
    <w:lvl w:ilvl="1" w:tplc="FFFFFFFF">
      <w:start w:val="1"/>
      <w:numFmt w:val="bullet"/>
      <w:lvlText w:val="o"/>
      <w:lvlJc w:val="left"/>
      <w:pPr>
        <w:tabs>
          <w:tab w:val="num" w:pos="1495"/>
        </w:tabs>
        <w:ind w:left="1495" w:hanging="360"/>
      </w:pPr>
      <w:rPr>
        <w:rFonts w:ascii="Courier New" w:hAnsi="Courier New" w:hint="default"/>
      </w:rPr>
    </w:lvl>
    <w:lvl w:ilvl="2" w:tplc="FFFFFFFF">
      <w:start w:val="1"/>
      <w:numFmt w:val="bullet"/>
      <w:lvlText w:val=""/>
      <w:lvlJc w:val="left"/>
      <w:pPr>
        <w:tabs>
          <w:tab w:val="num" w:pos="2215"/>
        </w:tabs>
        <w:ind w:left="2215" w:hanging="360"/>
      </w:pPr>
      <w:rPr>
        <w:rFonts w:ascii="Wingdings" w:hAnsi="Wingdings" w:hint="default"/>
      </w:rPr>
    </w:lvl>
    <w:lvl w:ilvl="3" w:tplc="FFFFFFFF">
      <w:start w:val="1"/>
      <w:numFmt w:val="bullet"/>
      <w:lvlText w:val=""/>
      <w:lvlJc w:val="left"/>
      <w:pPr>
        <w:tabs>
          <w:tab w:val="num" w:pos="2935"/>
        </w:tabs>
        <w:ind w:left="2935" w:hanging="360"/>
      </w:pPr>
      <w:rPr>
        <w:rFonts w:ascii="Symbol" w:hAnsi="Symbol" w:hint="default"/>
      </w:rPr>
    </w:lvl>
    <w:lvl w:ilvl="4" w:tplc="FFFFFFFF">
      <w:start w:val="1"/>
      <w:numFmt w:val="bullet"/>
      <w:lvlText w:val="o"/>
      <w:lvlJc w:val="left"/>
      <w:pPr>
        <w:tabs>
          <w:tab w:val="num" w:pos="3655"/>
        </w:tabs>
        <w:ind w:left="3655" w:hanging="360"/>
      </w:pPr>
      <w:rPr>
        <w:rFonts w:ascii="Courier New" w:hAnsi="Courier New" w:hint="default"/>
      </w:rPr>
    </w:lvl>
    <w:lvl w:ilvl="5" w:tplc="FFFFFFFF">
      <w:start w:val="1"/>
      <w:numFmt w:val="bullet"/>
      <w:lvlText w:val=""/>
      <w:lvlJc w:val="left"/>
      <w:pPr>
        <w:tabs>
          <w:tab w:val="num" w:pos="4375"/>
        </w:tabs>
        <w:ind w:left="4375" w:hanging="360"/>
      </w:pPr>
      <w:rPr>
        <w:rFonts w:ascii="Wingdings" w:hAnsi="Wingdings" w:hint="default"/>
      </w:rPr>
    </w:lvl>
    <w:lvl w:ilvl="6" w:tplc="FFFFFFFF">
      <w:start w:val="1"/>
      <w:numFmt w:val="bullet"/>
      <w:lvlText w:val=""/>
      <w:lvlJc w:val="left"/>
      <w:pPr>
        <w:tabs>
          <w:tab w:val="num" w:pos="5095"/>
        </w:tabs>
        <w:ind w:left="5095" w:hanging="360"/>
      </w:pPr>
      <w:rPr>
        <w:rFonts w:ascii="Symbol" w:hAnsi="Symbol" w:hint="default"/>
      </w:rPr>
    </w:lvl>
    <w:lvl w:ilvl="7" w:tplc="FFFFFFFF">
      <w:start w:val="1"/>
      <w:numFmt w:val="bullet"/>
      <w:lvlText w:val="o"/>
      <w:lvlJc w:val="left"/>
      <w:pPr>
        <w:tabs>
          <w:tab w:val="num" w:pos="5815"/>
        </w:tabs>
        <w:ind w:left="5815" w:hanging="360"/>
      </w:pPr>
      <w:rPr>
        <w:rFonts w:ascii="Courier New" w:hAnsi="Courier New" w:hint="default"/>
      </w:rPr>
    </w:lvl>
    <w:lvl w:ilvl="8" w:tplc="FFFFFFFF">
      <w:start w:val="1"/>
      <w:numFmt w:val="bullet"/>
      <w:lvlText w:val=""/>
      <w:lvlJc w:val="left"/>
      <w:pPr>
        <w:tabs>
          <w:tab w:val="num" w:pos="6535"/>
        </w:tabs>
        <w:ind w:left="6535" w:hanging="360"/>
      </w:pPr>
      <w:rPr>
        <w:rFonts w:ascii="Wingdings" w:hAnsi="Wingdings" w:hint="default"/>
      </w:rPr>
    </w:lvl>
  </w:abstractNum>
  <w:abstractNum w:abstractNumId="33" w15:restartNumberingAfterBreak="0">
    <w:nsid w:val="548407AD"/>
    <w:multiLevelType w:val="hybridMultilevel"/>
    <w:tmpl w:val="5FB28918"/>
    <w:lvl w:ilvl="0" w:tplc="ED6CD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3337F0"/>
    <w:multiLevelType w:val="hybridMultilevel"/>
    <w:tmpl w:val="5E6E2E56"/>
    <w:lvl w:ilvl="0" w:tplc="ED6CD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2F3A6A"/>
    <w:multiLevelType w:val="hybridMultilevel"/>
    <w:tmpl w:val="1F515F2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DF20406"/>
    <w:multiLevelType w:val="hybridMultilevel"/>
    <w:tmpl w:val="E15C268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5E39043F"/>
    <w:multiLevelType w:val="hybridMultilevel"/>
    <w:tmpl w:val="4B42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F15ABB"/>
    <w:multiLevelType w:val="hybridMultilevel"/>
    <w:tmpl w:val="E33C1F1E"/>
    <w:lvl w:ilvl="0" w:tplc="56AC9D8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6E8775B6"/>
    <w:multiLevelType w:val="hybridMultilevel"/>
    <w:tmpl w:val="4AC6DDB6"/>
    <w:lvl w:ilvl="0" w:tplc="ED6CD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406256"/>
    <w:multiLevelType w:val="hybridMultilevel"/>
    <w:tmpl w:val="66A2E7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570C34"/>
    <w:multiLevelType w:val="hybridMultilevel"/>
    <w:tmpl w:val="8DA0D1D0"/>
    <w:lvl w:ilvl="0" w:tplc="A76C55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981635"/>
    <w:multiLevelType w:val="hybridMultilevel"/>
    <w:tmpl w:val="8BE3B17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7E7768C9"/>
    <w:multiLevelType w:val="hybridMultilevel"/>
    <w:tmpl w:val="6ACEC00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8"/>
  </w:num>
  <w:num w:numId="2">
    <w:abstractNumId w:val="3"/>
  </w:num>
  <w:num w:numId="3">
    <w:abstractNumId w:val="2"/>
  </w:num>
  <w:num w:numId="4">
    <w:abstractNumId w:val="25"/>
  </w:num>
  <w:num w:numId="5">
    <w:abstractNumId w:val="12"/>
  </w:num>
  <w:num w:numId="6">
    <w:abstractNumId w:val="9"/>
  </w:num>
  <w:num w:numId="7">
    <w:abstractNumId w:val="18"/>
  </w:num>
  <w:num w:numId="8">
    <w:abstractNumId w:val="4"/>
  </w:num>
  <w:num w:numId="9">
    <w:abstractNumId w:val="35"/>
  </w:num>
  <w:num w:numId="10">
    <w:abstractNumId w:val="19"/>
  </w:num>
  <w:num w:numId="11">
    <w:abstractNumId w:val="5"/>
  </w:num>
  <w:num w:numId="12">
    <w:abstractNumId w:val="6"/>
  </w:num>
  <w:num w:numId="13">
    <w:abstractNumId w:val="11"/>
  </w:num>
  <w:num w:numId="14">
    <w:abstractNumId w:val="10"/>
  </w:num>
  <w:num w:numId="15">
    <w:abstractNumId w:val="36"/>
  </w:num>
  <w:num w:numId="16">
    <w:abstractNumId w:val="7"/>
  </w:num>
  <w:num w:numId="17">
    <w:abstractNumId w:val="1"/>
  </w:num>
  <w:num w:numId="18">
    <w:abstractNumId w:val="0"/>
  </w:num>
  <w:num w:numId="19">
    <w:abstractNumId w:val="42"/>
  </w:num>
  <w:num w:numId="20">
    <w:abstractNumId w:val="28"/>
  </w:num>
  <w:num w:numId="21">
    <w:abstractNumId w:val="39"/>
  </w:num>
  <w:num w:numId="22">
    <w:abstractNumId w:val="33"/>
  </w:num>
  <w:num w:numId="23">
    <w:abstractNumId w:val="31"/>
  </w:num>
  <w:num w:numId="24">
    <w:abstractNumId w:val="26"/>
  </w:num>
  <w:num w:numId="25">
    <w:abstractNumId w:val="34"/>
  </w:num>
  <w:num w:numId="26">
    <w:abstractNumId w:val="32"/>
  </w:num>
  <w:num w:numId="27">
    <w:abstractNumId w:val="30"/>
  </w:num>
  <w:num w:numId="28">
    <w:abstractNumId w:val="41"/>
  </w:num>
  <w:num w:numId="29">
    <w:abstractNumId w:val="38"/>
  </w:num>
  <w:num w:numId="30">
    <w:abstractNumId w:val="43"/>
  </w:num>
  <w:num w:numId="31">
    <w:abstractNumId w:val="20"/>
  </w:num>
  <w:num w:numId="32">
    <w:abstractNumId w:val="17"/>
  </w:num>
  <w:num w:numId="33">
    <w:abstractNumId w:val="24"/>
  </w:num>
  <w:num w:numId="34">
    <w:abstractNumId w:val="15"/>
  </w:num>
  <w:num w:numId="35">
    <w:abstractNumId w:val="16"/>
  </w:num>
  <w:num w:numId="36">
    <w:abstractNumId w:val="40"/>
  </w:num>
  <w:num w:numId="37">
    <w:abstractNumId w:val="29"/>
  </w:num>
  <w:num w:numId="38">
    <w:abstractNumId w:val="27"/>
  </w:num>
  <w:num w:numId="39">
    <w:abstractNumId w:val="37"/>
  </w:num>
  <w:num w:numId="40">
    <w:abstractNumId w:val="21"/>
  </w:num>
  <w:num w:numId="41">
    <w:abstractNumId w:val="22"/>
  </w:num>
  <w:num w:numId="42">
    <w:abstractNumId w:val="13"/>
  </w:num>
  <w:num w:numId="43">
    <w:abstractNumId w:val="2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78"/>
    <w:rsid w:val="00000FBE"/>
    <w:rsid w:val="00004532"/>
    <w:rsid w:val="00005AA3"/>
    <w:rsid w:val="00006BC1"/>
    <w:rsid w:val="0001148C"/>
    <w:rsid w:val="000116CE"/>
    <w:rsid w:val="00016A62"/>
    <w:rsid w:val="00017413"/>
    <w:rsid w:val="00027E55"/>
    <w:rsid w:val="00033BF8"/>
    <w:rsid w:val="000403A9"/>
    <w:rsid w:val="0004074E"/>
    <w:rsid w:val="00040BE8"/>
    <w:rsid w:val="0004496F"/>
    <w:rsid w:val="0005061A"/>
    <w:rsid w:val="000513BB"/>
    <w:rsid w:val="000551B3"/>
    <w:rsid w:val="00055C19"/>
    <w:rsid w:val="00055CA9"/>
    <w:rsid w:val="0005633A"/>
    <w:rsid w:val="00060E39"/>
    <w:rsid w:val="00071472"/>
    <w:rsid w:val="00074DD8"/>
    <w:rsid w:val="00075D7D"/>
    <w:rsid w:val="00076396"/>
    <w:rsid w:val="00080012"/>
    <w:rsid w:val="00082F60"/>
    <w:rsid w:val="00083746"/>
    <w:rsid w:val="00087F00"/>
    <w:rsid w:val="00095D51"/>
    <w:rsid w:val="000962CF"/>
    <w:rsid w:val="000A35FB"/>
    <w:rsid w:val="000A3FA5"/>
    <w:rsid w:val="000B0764"/>
    <w:rsid w:val="000B3DF0"/>
    <w:rsid w:val="000B4728"/>
    <w:rsid w:val="000C0CC6"/>
    <w:rsid w:val="000C3B77"/>
    <w:rsid w:val="000D0DC3"/>
    <w:rsid w:val="000D13AB"/>
    <w:rsid w:val="000D41B7"/>
    <w:rsid w:val="000D44AA"/>
    <w:rsid w:val="000E3BDF"/>
    <w:rsid w:val="000E5E67"/>
    <w:rsid w:val="000F7463"/>
    <w:rsid w:val="001033BB"/>
    <w:rsid w:val="00105825"/>
    <w:rsid w:val="00106B1B"/>
    <w:rsid w:val="001108FD"/>
    <w:rsid w:val="001157C7"/>
    <w:rsid w:val="0011701C"/>
    <w:rsid w:val="00123193"/>
    <w:rsid w:val="00124D9E"/>
    <w:rsid w:val="00125EA8"/>
    <w:rsid w:val="00133EE7"/>
    <w:rsid w:val="00136C53"/>
    <w:rsid w:val="00141FDE"/>
    <w:rsid w:val="0014216F"/>
    <w:rsid w:val="00143207"/>
    <w:rsid w:val="00143880"/>
    <w:rsid w:val="00145A71"/>
    <w:rsid w:val="0014602D"/>
    <w:rsid w:val="001460AF"/>
    <w:rsid w:val="00155371"/>
    <w:rsid w:val="00160A48"/>
    <w:rsid w:val="00167580"/>
    <w:rsid w:val="00171971"/>
    <w:rsid w:val="0018646C"/>
    <w:rsid w:val="00195303"/>
    <w:rsid w:val="001A28D1"/>
    <w:rsid w:val="001A4103"/>
    <w:rsid w:val="001A6984"/>
    <w:rsid w:val="001A6C83"/>
    <w:rsid w:val="001B0533"/>
    <w:rsid w:val="001B1A6F"/>
    <w:rsid w:val="001B4772"/>
    <w:rsid w:val="001B5689"/>
    <w:rsid w:val="001B78C4"/>
    <w:rsid w:val="001C0762"/>
    <w:rsid w:val="001C1BA0"/>
    <w:rsid w:val="001C4D1B"/>
    <w:rsid w:val="001D4AE9"/>
    <w:rsid w:val="001D6715"/>
    <w:rsid w:val="001E04CD"/>
    <w:rsid w:val="001E081D"/>
    <w:rsid w:val="001E0985"/>
    <w:rsid w:val="00205116"/>
    <w:rsid w:val="002054B6"/>
    <w:rsid w:val="002070D7"/>
    <w:rsid w:val="00207271"/>
    <w:rsid w:val="002102D3"/>
    <w:rsid w:val="00210EF2"/>
    <w:rsid w:val="00222C57"/>
    <w:rsid w:val="00223F3D"/>
    <w:rsid w:val="002254D1"/>
    <w:rsid w:val="00231872"/>
    <w:rsid w:val="00232033"/>
    <w:rsid w:val="00233AB2"/>
    <w:rsid w:val="00233D8A"/>
    <w:rsid w:val="002359BA"/>
    <w:rsid w:val="00237379"/>
    <w:rsid w:val="002422F3"/>
    <w:rsid w:val="0024242B"/>
    <w:rsid w:val="002462CA"/>
    <w:rsid w:val="00247867"/>
    <w:rsid w:val="00250AEE"/>
    <w:rsid w:val="00263705"/>
    <w:rsid w:val="0026503B"/>
    <w:rsid w:val="00266E36"/>
    <w:rsid w:val="00276B2D"/>
    <w:rsid w:val="002808EF"/>
    <w:rsid w:val="002810C6"/>
    <w:rsid w:val="00284234"/>
    <w:rsid w:val="00284561"/>
    <w:rsid w:val="0028500D"/>
    <w:rsid w:val="00286FBC"/>
    <w:rsid w:val="00291C64"/>
    <w:rsid w:val="00294739"/>
    <w:rsid w:val="002A09D3"/>
    <w:rsid w:val="002A0E03"/>
    <w:rsid w:val="002A1404"/>
    <w:rsid w:val="002A367C"/>
    <w:rsid w:val="002A54C2"/>
    <w:rsid w:val="002B5E61"/>
    <w:rsid w:val="002C08B4"/>
    <w:rsid w:val="002C3FF5"/>
    <w:rsid w:val="002C4EB0"/>
    <w:rsid w:val="002D3687"/>
    <w:rsid w:val="002D65AE"/>
    <w:rsid w:val="002E15E6"/>
    <w:rsid w:val="002E6200"/>
    <w:rsid w:val="002F13F5"/>
    <w:rsid w:val="002F60C5"/>
    <w:rsid w:val="002F7F3F"/>
    <w:rsid w:val="00301387"/>
    <w:rsid w:val="00311671"/>
    <w:rsid w:val="0032150A"/>
    <w:rsid w:val="00321A3F"/>
    <w:rsid w:val="00324412"/>
    <w:rsid w:val="00324A8B"/>
    <w:rsid w:val="003353A3"/>
    <w:rsid w:val="00335693"/>
    <w:rsid w:val="00336A29"/>
    <w:rsid w:val="00341B2E"/>
    <w:rsid w:val="00342BBF"/>
    <w:rsid w:val="003436BE"/>
    <w:rsid w:val="0036541E"/>
    <w:rsid w:val="00367919"/>
    <w:rsid w:val="00377141"/>
    <w:rsid w:val="003800F2"/>
    <w:rsid w:val="00381C35"/>
    <w:rsid w:val="00386D73"/>
    <w:rsid w:val="00391B38"/>
    <w:rsid w:val="003933A5"/>
    <w:rsid w:val="00393A76"/>
    <w:rsid w:val="00394475"/>
    <w:rsid w:val="003A23AF"/>
    <w:rsid w:val="003A421B"/>
    <w:rsid w:val="003A4328"/>
    <w:rsid w:val="003A6357"/>
    <w:rsid w:val="003A689F"/>
    <w:rsid w:val="003B0940"/>
    <w:rsid w:val="003B48C1"/>
    <w:rsid w:val="003B5B49"/>
    <w:rsid w:val="003B6DE7"/>
    <w:rsid w:val="003B7677"/>
    <w:rsid w:val="003C0080"/>
    <w:rsid w:val="003C00C4"/>
    <w:rsid w:val="003C20B6"/>
    <w:rsid w:val="003C5A1F"/>
    <w:rsid w:val="003C79B0"/>
    <w:rsid w:val="003D1C2C"/>
    <w:rsid w:val="003D3EB6"/>
    <w:rsid w:val="003D436E"/>
    <w:rsid w:val="003D6EBE"/>
    <w:rsid w:val="003E109B"/>
    <w:rsid w:val="003E3A02"/>
    <w:rsid w:val="003E5DFE"/>
    <w:rsid w:val="003E6C31"/>
    <w:rsid w:val="003F1C46"/>
    <w:rsid w:val="003F2241"/>
    <w:rsid w:val="003F43A4"/>
    <w:rsid w:val="003F5100"/>
    <w:rsid w:val="003F5710"/>
    <w:rsid w:val="003F64A1"/>
    <w:rsid w:val="003F693D"/>
    <w:rsid w:val="003F6C71"/>
    <w:rsid w:val="003F7A26"/>
    <w:rsid w:val="00401105"/>
    <w:rsid w:val="00402BB8"/>
    <w:rsid w:val="00410FB5"/>
    <w:rsid w:val="00420DE8"/>
    <w:rsid w:val="00421545"/>
    <w:rsid w:val="0042449B"/>
    <w:rsid w:val="00424D3F"/>
    <w:rsid w:val="00431EF3"/>
    <w:rsid w:val="0043793A"/>
    <w:rsid w:val="00441E4C"/>
    <w:rsid w:val="00443945"/>
    <w:rsid w:val="00443F5B"/>
    <w:rsid w:val="00447F3D"/>
    <w:rsid w:val="00453727"/>
    <w:rsid w:val="0045711B"/>
    <w:rsid w:val="00457410"/>
    <w:rsid w:val="004633CD"/>
    <w:rsid w:val="00465EFE"/>
    <w:rsid w:val="0046665C"/>
    <w:rsid w:val="00481D10"/>
    <w:rsid w:val="00482126"/>
    <w:rsid w:val="004827ED"/>
    <w:rsid w:val="00482E46"/>
    <w:rsid w:val="004839FC"/>
    <w:rsid w:val="00484510"/>
    <w:rsid w:val="00486E8A"/>
    <w:rsid w:val="00487A9A"/>
    <w:rsid w:val="00493921"/>
    <w:rsid w:val="00497E3A"/>
    <w:rsid w:val="004A295A"/>
    <w:rsid w:val="004A400A"/>
    <w:rsid w:val="004B679B"/>
    <w:rsid w:val="004B70DE"/>
    <w:rsid w:val="004C382E"/>
    <w:rsid w:val="004C4583"/>
    <w:rsid w:val="004C5BBB"/>
    <w:rsid w:val="004D0325"/>
    <w:rsid w:val="004D55DD"/>
    <w:rsid w:val="004F2A92"/>
    <w:rsid w:val="004F2F7E"/>
    <w:rsid w:val="004F5E78"/>
    <w:rsid w:val="00512FD7"/>
    <w:rsid w:val="00523CBC"/>
    <w:rsid w:val="00524609"/>
    <w:rsid w:val="0053036B"/>
    <w:rsid w:val="005305EC"/>
    <w:rsid w:val="005336E1"/>
    <w:rsid w:val="005369F9"/>
    <w:rsid w:val="0053746B"/>
    <w:rsid w:val="00540BF9"/>
    <w:rsid w:val="00540F39"/>
    <w:rsid w:val="00544309"/>
    <w:rsid w:val="00544408"/>
    <w:rsid w:val="00546CA9"/>
    <w:rsid w:val="00547798"/>
    <w:rsid w:val="005536F0"/>
    <w:rsid w:val="00553D08"/>
    <w:rsid w:val="00557006"/>
    <w:rsid w:val="0056132B"/>
    <w:rsid w:val="00563EEC"/>
    <w:rsid w:val="0056735B"/>
    <w:rsid w:val="005679A9"/>
    <w:rsid w:val="00570BB5"/>
    <w:rsid w:val="00571A3D"/>
    <w:rsid w:val="00573FEF"/>
    <w:rsid w:val="005909FC"/>
    <w:rsid w:val="00595581"/>
    <w:rsid w:val="00597610"/>
    <w:rsid w:val="005A1268"/>
    <w:rsid w:val="005A2503"/>
    <w:rsid w:val="005A29BE"/>
    <w:rsid w:val="005B2617"/>
    <w:rsid w:val="005B5277"/>
    <w:rsid w:val="005B6071"/>
    <w:rsid w:val="005C2951"/>
    <w:rsid w:val="005C4AD6"/>
    <w:rsid w:val="005C67F0"/>
    <w:rsid w:val="005D63D6"/>
    <w:rsid w:val="005E375F"/>
    <w:rsid w:val="005E4E31"/>
    <w:rsid w:val="005E6213"/>
    <w:rsid w:val="005F3416"/>
    <w:rsid w:val="005F5696"/>
    <w:rsid w:val="00607659"/>
    <w:rsid w:val="00610559"/>
    <w:rsid w:val="00613CDC"/>
    <w:rsid w:val="00625656"/>
    <w:rsid w:val="00627FFC"/>
    <w:rsid w:val="00630445"/>
    <w:rsid w:val="00631A9B"/>
    <w:rsid w:val="0063705C"/>
    <w:rsid w:val="00637A53"/>
    <w:rsid w:val="00646798"/>
    <w:rsid w:val="0065105B"/>
    <w:rsid w:val="00663722"/>
    <w:rsid w:val="0066425D"/>
    <w:rsid w:val="00664C9B"/>
    <w:rsid w:val="006720A7"/>
    <w:rsid w:val="00673E2F"/>
    <w:rsid w:val="006761C4"/>
    <w:rsid w:val="00676C6D"/>
    <w:rsid w:val="00685B5E"/>
    <w:rsid w:val="00691B5A"/>
    <w:rsid w:val="0069479D"/>
    <w:rsid w:val="006B378F"/>
    <w:rsid w:val="006C204B"/>
    <w:rsid w:val="006C2552"/>
    <w:rsid w:val="006C2EE1"/>
    <w:rsid w:val="006C30C7"/>
    <w:rsid w:val="006C38D1"/>
    <w:rsid w:val="006C48D1"/>
    <w:rsid w:val="006D2FFB"/>
    <w:rsid w:val="006D42B6"/>
    <w:rsid w:val="006E1080"/>
    <w:rsid w:val="006F1830"/>
    <w:rsid w:val="006F22AC"/>
    <w:rsid w:val="006F5C89"/>
    <w:rsid w:val="006F63B5"/>
    <w:rsid w:val="0070045E"/>
    <w:rsid w:val="007027CC"/>
    <w:rsid w:val="00705328"/>
    <w:rsid w:val="00711F98"/>
    <w:rsid w:val="00711FAF"/>
    <w:rsid w:val="00713523"/>
    <w:rsid w:val="00720275"/>
    <w:rsid w:val="007205B1"/>
    <w:rsid w:val="00722C4F"/>
    <w:rsid w:val="00732EF5"/>
    <w:rsid w:val="0073550D"/>
    <w:rsid w:val="007443DF"/>
    <w:rsid w:val="00745987"/>
    <w:rsid w:val="00747B97"/>
    <w:rsid w:val="007536B5"/>
    <w:rsid w:val="00756ECB"/>
    <w:rsid w:val="00762005"/>
    <w:rsid w:val="007621DF"/>
    <w:rsid w:val="00762460"/>
    <w:rsid w:val="007732F2"/>
    <w:rsid w:val="0077348E"/>
    <w:rsid w:val="00775D19"/>
    <w:rsid w:val="007810A6"/>
    <w:rsid w:val="007818B7"/>
    <w:rsid w:val="007818E9"/>
    <w:rsid w:val="00796EA8"/>
    <w:rsid w:val="00797E7E"/>
    <w:rsid w:val="007A0EA8"/>
    <w:rsid w:val="007A2034"/>
    <w:rsid w:val="007A40FB"/>
    <w:rsid w:val="007A46C8"/>
    <w:rsid w:val="007A7022"/>
    <w:rsid w:val="007B1886"/>
    <w:rsid w:val="007B228F"/>
    <w:rsid w:val="007B60F6"/>
    <w:rsid w:val="007B74EF"/>
    <w:rsid w:val="007C19AA"/>
    <w:rsid w:val="007C33C8"/>
    <w:rsid w:val="007D3B21"/>
    <w:rsid w:val="007D7BB3"/>
    <w:rsid w:val="007E1833"/>
    <w:rsid w:val="007F3C82"/>
    <w:rsid w:val="007F468C"/>
    <w:rsid w:val="00810AC8"/>
    <w:rsid w:val="00811AA4"/>
    <w:rsid w:val="00826E3E"/>
    <w:rsid w:val="008274C9"/>
    <w:rsid w:val="00831590"/>
    <w:rsid w:val="00834083"/>
    <w:rsid w:val="00834E5D"/>
    <w:rsid w:val="00836010"/>
    <w:rsid w:val="008411EC"/>
    <w:rsid w:val="008526EB"/>
    <w:rsid w:val="0085492C"/>
    <w:rsid w:val="0085735B"/>
    <w:rsid w:val="00857ECA"/>
    <w:rsid w:val="008669EA"/>
    <w:rsid w:val="00867C11"/>
    <w:rsid w:val="008759B9"/>
    <w:rsid w:val="00876246"/>
    <w:rsid w:val="008816A3"/>
    <w:rsid w:val="00883B85"/>
    <w:rsid w:val="00891640"/>
    <w:rsid w:val="0089569D"/>
    <w:rsid w:val="008A1DBF"/>
    <w:rsid w:val="008A3512"/>
    <w:rsid w:val="008A77B2"/>
    <w:rsid w:val="008B197F"/>
    <w:rsid w:val="008B3DC4"/>
    <w:rsid w:val="008B4101"/>
    <w:rsid w:val="008B66A8"/>
    <w:rsid w:val="008B6F89"/>
    <w:rsid w:val="008B7BD6"/>
    <w:rsid w:val="008C6050"/>
    <w:rsid w:val="008D3875"/>
    <w:rsid w:val="008E1337"/>
    <w:rsid w:val="008E19AE"/>
    <w:rsid w:val="008E3AA9"/>
    <w:rsid w:val="008E64B4"/>
    <w:rsid w:val="00910B53"/>
    <w:rsid w:val="00933EAC"/>
    <w:rsid w:val="009516F6"/>
    <w:rsid w:val="009534DA"/>
    <w:rsid w:val="00957815"/>
    <w:rsid w:val="00963C34"/>
    <w:rsid w:val="00964061"/>
    <w:rsid w:val="00965AA8"/>
    <w:rsid w:val="0096622F"/>
    <w:rsid w:val="00972E48"/>
    <w:rsid w:val="009739EE"/>
    <w:rsid w:val="00973C92"/>
    <w:rsid w:val="00975031"/>
    <w:rsid w:val="00975DCB"/>
    <w:rsid w:val="00980123"/>
    <w:rsid w:val="00982887"/>
    <w:rsid w:val="009848B0"/>
    <w:rsid w:val="0098764B"/>
    <w:rsid w:val="00992020"/>
    <w:rsid w:val="009926E7"/>
    <w:rsid w:val="009962B4"/>
    <w:rsid w:val="00997952"/>
    <w:rsid w:val="009A53D9"/>
    <w:rsid w:val="009A576E"/>
    <w:rsid w:val="009A7912"/>
    <w:rsid w:val="009B372E"/>
    <w:rsid w:val="009C5311"/>
    <w:rsid w:val="009D2A21"/>
    <w:rsid w:val="009F0FE6"/>
    <w:rsid w:val="009F6BE5"/>
    <w:rsid w:val="00A0076F"/>
    <w:rsid w:val="00A1251E"/>
    <w:rsid w:val="00A26543"/>
    <w:rsid w:val="00A302E1"/>
    <w:rsid w:val="00A31958"/>
    <w:rsid w:val="00A3474C"/>
    <w:rsid w:val="00A35939"/>
    <w:rsid w:val="00A523C1"/>
    <w:rsid w:val="00A61683"/>
    <w:rsid w:val="00A6642A"/>
    <w:rsid w:val="00A664D6"/>
    <w:rsid w:val="00A67368"/>
    <w:rsid w:val="00A67AD2"/>
    <w:rsid w:val="00A7345E"/>
    <w:rsid w:val="00A812A5"/>
    <w:rsid w:val="00A85EE5"/>
    <w:rsid w:val="00A93CEA"/>
    <w:rsid w:val="00A956D6"/>
    <w:rsid w:val="00A97C6D"/>
    <w:rsid w:val="00AA0AB4"/>
    <w:rsid w:val="00AA0F72"/>
    <w:rsid w:val="00AA3687"/>
    <w:rsid w:val="00AA51C0"/>
    <w:rsid w:val="00AA5D71"/>
    <w:rsid w:val="00AA7C70"/>
    <w:rsid w:val="00AB56A0"/>
    <w:rsid w:val="00AC23B2"/>
    <w:rsid w:val="00AC3AF2"/>
    <w:rsid w:val="00AE61D3"/>
    <w:rsid w:val="00AF07B8"/>
    <w:rsid w:val="00AF0B95"/>
    <w:rsid w:val="00AF57EB"/>
    <w:rsid w:val="00B0198B"/>
    <w:rsid w:val="00B1365D"/>
    <w:rsid w:val="00B14600"/>
    <w:rsid w:val="00B14902"/>
    <w:rsid w:val="00B1726C"/>
    <w:rsid w:val="00B201E2"/>
    <w:rsid w:val="00B20707"/>
    <w:rsid w:val="00B2082E"/>
    <w:rsid w:val="00B26CA9"/>
    <w:rsid w:val="00B30E1B"/>
    <w:rsid w:val="00B328B5"/>
    <w:rsid w:val="00B342DB"/>
    <w:rsid w:val="00B34A53"/>
    <w:rsid w:val="00B34C80"/>
    <w:rsid w:val="00B47524"/>
    <w:rsid w:val="00B50123"/>
    <w:rsid w:val="00B54949"/>
    <w:rsid w:val="00B55418"/>
    <w:rsid w:val="00B56CFF"/>
    <w:rsid w:val="00B56D1F"/>
    <w:rsid w:val="00B61B61"/>
    <w:rsid w:val="00B61BE1"/>
    <w:rsid w:val="00B6339F"/>
    <w:rsid w:val="00B648F7"/>
    <w:rsid w:val="00B6669F"/>
    <w:rsid w:val="00B66A46"/>
    <w:rsid w:val="00B67C22"/>
    <w:rsid w:val="00B709F7"/>
    <w:rsid w:val="00B714EC"/>
    <w:rsid w:val="00B74BA6"/>
    <w:rsid w:val="00B74F6B"/>
    <w:rsid w:val="00B7581D"/>
    <w:rsid w:val="00B77F1C"/>
    <w:rsid w:val="00B77FD2"/>
    <w:rsid w:val="00B82AEA"/>
    <w:rsid w:val="00B84494"/>
    <w:rsid w:val="00B8725F"/>
    <w:rsid w:val="00B919BB"/>
    <w:rsid w:val="00B932A3"/>
    <w:rsid w:val="00B93E37"/>
    <w:rsid w:val="00B97F78"/>
    <w:rsid w:val="00BA7FAB"/>
    <w:rsid w:val="00BB15D8"/>
    <w:rsid w:val="00BB379E"/>
    <w:rsid w:val="00BB4478"/>
    <w:rsid w:val="00BB5CD2"/>
    <w:rsid w:val="00BC00AC"/>
    <w:rsid w:val="00BC1474"/>
    <w:rsid w:val="00BC4DC6"/>
    <w:rsid w:val="00BC50C3"/>
    <w:rsid w:val="00BC53D5"/>
    <w:rsid w:val="00BC69B7"/>
    <w:rsid w:val="00BD0182"/>
    <w:rsid w:val="00BD6CAA"/>
    <w:rsid w:val="00BE22BA"/>
    <w:rsid w:val="00BE4F40"/>
    <w:rsid w:val="00BF0614"/>
    <w:rsid w:val="00BF1FFC"/>
    <w:rsid w:val="00BF2269"/>
    <w:rsid w:val="00C02235"/>
    <w:rsid w:val="00C05F5B"/>
    <w:rsid w:val="00C10A74"/>
    <w:rsid w:val="00C10C7F"/>
    <w:rsid w:val="00C13697"/>
    <w:rsid w:val="00C13844"/>
    <w:rsid w:val="00C25DED"/>
    <w:rsid w:val="00C40342"/>
    <w:rsid w:val="00C4376E"/>
    <w:rsid w:val="00C4682A"/>
    <w:rsid w:val="00C47CD5"/>
    <w:rsid w:val="00C630FF"/>
    <w:rsid w:val="00C6426E"/>
    <w:rsid w:val="00C76D1F"/>
    <w:rsid w:val="00C86854"/>
    <w:rsid w:val="00C86F46"/>
    <w:rsid w:val="00C9134C"/>
    <w:rsid w:val="00C94047"/>
    <w:rsid w:val="00C95C61"/>
    <w:rsid w:val="00C969E1"/>
    <w:rsid w:val="00CA439E"/>
    <w:rsid w:val="00CB1B5E"/>
    <w:rsid w:val="00CB26E6"/>
    <w:rsid w:val="00CC0A10"/>
    <w:rsid w:val="00CC5DBD"/>
    <w:rsid w:val="00CC5F90"/>
    <w:rsid w:val="00CC6B66"/>
    <w:rsid w:val="00CD2781"/>
    <w:rsid w:val="00CD5718"/>
    <w:rsid w:val="00CD6F98"/>
    <w:rsid w:val="00CE1781"/>
    <w:rsid w:val="00CE280E"/>
    <w:rsid w:val="00CE4677"/>
    <w:rsid w:val="00CE7E6C"/>
    <w:rsid w:val="00CF1886"/>
    <w:rsid w:val="00CF5F8E"/>
    <w:rsid w:val="00D00A1A"/>
    <w:rsid w:val="00D0566B"/>
    <w:rsid w:val="00D05F47"/>
    <w:rsid w:val="00D06EA0"/>
    <w:rsid w:val="00D14E12"/>
    <w:rsid w:val="00D210AF"/>
    <w:rsid w:val="00D312D5"/>
    <w:rsid w:val="00D33383"/>
    <w:rsid w:val="00D35334"/>
    <w:rsid w:val="00D3774B"/>
    <w:rsid w:val="00D407C1"/>
    <w:rsid w:val="00D41F93"/>
    <w:rsid w:val="00D439EF"/>
    <w:rsid w:val="00D43E17"/>
    <w:rsid w:val="00D47B35"/>
    <w:rsid w:val="00D47BE6"/>
    <w:rsid w:val="00D51C87"/>
    <w:rsid w:val="00D61C94"/>
    <w:rsid w:val="00D62CDE"/>
    <w:rsid w:val="00D650F9"/>
    <w:rsid w:val="00D65CD4"/>
    <w:rsid w:val="00D73EF7"/>
    <w:rsid w:val="00D76B07"/>
    <w:rsid w:val="00D805A8"/>
    <w:rsid w:val="00D805B0"/>
    <w:rsid w:val="00D81D51"/>
    <w:rsid w:val="00D81EE4"/>
    <w:rsid w:val="00D91B7A"/>
    <w:rsid w:val="00DA4B5C"/>
    <w:rsid w:val="00DA67BF"/>
    <w:rsid w:val="00DA7895"/>
    <w:rsid w:val="00DB209A"/>
    <w:rsid w:val="00DB46A9"/>
    <w:rsid w:val="00DB74A0"/>
    <w:rsid w:val="00DB763E"/>
    <w:rsid w:val="00DC2E5F"/>
    <w:rsid w:val="00DC3E98"/>
    <w:rsid w:val="00DC5593"/>
    <w:rsid w:val="00DC7940"/>
    <w:rsid w:val="00DC7D5A"/>
    <w:rsid w:val="00DD4F72"/>
    <w:rsid w:val="00DD578B"/>
    <w:rsid w:val="00DD649A"/>
    <w:rsid w:val="00DE1B21"/>
    <w:rsid w:val="00DE387A"/>
    <w:rsid w:val="00DE4DA6"/>
    <w:rsid w:val="00DE58D9"/>
    <w:rsid w:val="00DF0041"/>
    <w:rsid w:val="00DF4922"/>
    <w:rsid w:val="00DF6110"/>
    <w:rsid w:val="00E0597C"/>
    <w:rsid w:val="00E075C6"/>
    <w:rsid w:val="00E112C1"/>
    <w:rsid w:val="00E165F4"/>
    <w:rsid w:val="00E20922"/>
    <w:rsid w:val="00E209CC"/>
    <w:rsid w:val="00E22580"/>
    <w:rsid w:val="00E226AC"/>
    <w:rsid w:val="00E22CFA"/>
    <w:rsid w:val="00E26E28"/>
    <w:rsid w:val="00E27C58"/>
    <w:rsid w:val="00E30258"/>
    <w:rsid w:val="00E37847"/>
    <w:rsid w:val="00E37D17"/>
    <w:rsid w:val="00E432BE"/>
    <w:rsid w:val="00E52C0C"/>
    <w:rsid w:val="00E54EC8"/>
    <w:rsid w:val="00E65494"/>
    <w:rsid w:val="00E914B9"/>
    <w:rsid w:val="00E97757"/>
    <w:rsid w:val="00EA6519"/>
    <w:rsid w:val="00EA7687"/>
    <w:rsid w:val="00EB12AE"/>
    <w:rsid w:val="00EB2104"/>
    <w:rsid w:val="00EB467D"/>
    <w:rsid w:val="00EB5BF8"/>
    <w:rsid w:val="00EC35D2"/>
    <w:rsid w:val="00EC3B49"/>
    <w:rsid w:val="00EC50A1"/>
    <w:rsid w:val="00ED1367"/>
    <w:rsid w:val="00EE1DFA"/>
    <w:rsid w:val="00EE3782"/>
    <w:rsid w:val="00EF16B8"/>
    <w:rsid w:val="00EF1CEB"/>
    <w:rsid w:val="00EF66D0"/>
    <w:rsid w:val="00F04A5B"/>
    <w:rsid w:val="00F05C11"/>
    <w:rsid w:val="00F11F97"/>
    <w:rsid w:val="00F149F6"/>
    <w:rsid w:val="00F22300"/>
    <w:rsid w:val="00F25964"/>
    <w:rsid w:val="00F26786"/>
    <w:rsid w:val="00F30833"/>
    <w:rsid w:val="00F330B0"/>
    <w:rsid w:val="00F33F55"/>
    <w:rsid w:val="00F3736B"/>
    <w:rsid w:val="00F41E75"/>
    <w:rsid w:val="00F428EA"/>
    <w:rsid w:val="00F50961"/>
    <w:rsid w:val="00F53083"/>
    <w:rsid w:val="00F55609"/>
    <w:rsid w:val="00F60515"/>
    <w:rsid w:val="00F605F4"/>
    <w:rsid w:val="00F640C7"/>
    <w:rsid w:val="00F65EF8"/>
    <w:rsid w:val="00F661A7"/>
    <w:rsid w:val="00F7495D"/>
    <w:rsid w:val="00F80588"/>
    <w:rsid w:val="00F86208"/>
    <w:rsid w:val="00F86FEF"/>
    <w:rsid w:val="00F90943"/>
    <w:rsid w:val="00F962B8"/>
    <w:rsid w:val="00FA014F"/>
    <w:rsid w:val="00FA4BD6"/>
    <w:rsid w:val="00FA7700"/>
    <w:rsid w:val="00FC76A4"/>
    <w:rsid w:val="00FD06DB"/>
    <w:rsid w:val="00FD2BD9"/>
    <w:rsid w:val="00FD75D0"/>
    <w:rsid w:val="00FE04DF"/>
    <w:rsid w:val="00FF01AD"/>
    <w:rsid w:val="00FF0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1E42"/>
  <w15:docId w15:val="{E5B9CFE4-5967-49A8-879A-4C24DD2F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A5B"/>
  </w:style>
  <w:style w:type="paragraph" w:styleId="1">
    <w:name w:val="heading 1"/>
    <w:basedOn w:val="a"/>
    <w:next w:val="a"/>
    <w:link w:val="10"/>
    <w:uiPriority w:val="9"/>
    <w:qFormat/>
    <w:rsid w:val="0026503B"/>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2">
    <w:name w:val="heading 2"/>
    <w:basedOn w:val="a"/>
    <w:next w:val="a"/>
    <w:link w:val="20"/>
    <w:uiPriority w:val="9"/>
    <w:semiHidden/>
    <w:unhideWhenUsed/>
    <w:qFormat/>
    <w:rsid w:val="0026503B"/>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3">
    <w:name w:val="heading 3"/>
    <w:basedOn w:val="a"/>
    <w:next w:val="a"/>
    <w:link w:val="30"/>
    <w:uiPriority w:val="9"/>
    <w:semiHidden/>
    <w:unhideWhenUsed/>
    <w:qFormat/>
    <w:rsid w:val="0026503B"/>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4">
    <w:name w:val="heading 4"/>
    <w:basedOn w:val="a"/>
    <w:next w:val="a"/>
    <w:link w:val="40"/>
    <w:uiPriority w:val="9"/>
    <w:semiHidden/>
    <w:unhideWhenUsed/>
    <w:qFormat/>
    <w:rsid w:val="0026503B"/>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5">
    <w:name w:val="heading 5"/>
    <w:basedOn w:val="a"/>
    <w:next w:val="a"/>
    <w:link w:val="50"/>
    <w:uiPriority w:val="9"/>
    <w:semiHidden/>
    <w:unhideWhenUsed/>
    <w:qFormat/>
    <w:rsid w:val="0026503B"/>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6">
    <w:name w:val="heading 6"/>
    <w:basedOn w:val="a"/>
    <w:next w:val="a"/>
    <w:link w:val="60"/>
    <w:uiPriority w:val="9"/>
    <w:semiHidden/>
    <w:unhideWhenUsed/>
    <w:qFormat/>
    <w:rsid w:val="0026503B"/>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7">
    <w:name w:val="heading 7"/>
    <w:basedOn w:val="a"/>
    <w:next w:val="a"/>
    <w:link w:val="70"/>
    <w:uiPriority w:val="9"/>
    <w:semiHidden/>
    <w:unhideWhenUsed/>
    <w:qFormat/>
    <w:rsid w:val="0026503B"/>
    <w:pPr>
      <w:keepNext/>
      <w:keepLines/>
      <w:spacing w:before="40" w:after="0"/>
      <w:outlineLvl w:val="6"/>
    </w:pPr>
    <w:rPr>
      <w:rFonts w:asciiTheme="majorHAnsi" w:eastAsiaTheme="majorEastAsia" w:hAnsiTheme="majorHAnsi" w:cstheme="majorBidi"/>
      <w:color w:val="1F4E79" w:themeColor="accent1" w:themeShade="80"/>
    </w:rPr>
  </w:style>
  <w:style w:type="paragraph" w:styleId="8">
    <w:name w:val="heading 8"/>
    <w:basedOn w:val="a"/>
    <w:next w:val="a"/>
    <w:link w:val="80"/>
    <w:uiPriority w:val="9"/>
    <w:semiHidden/>
    <w:unhideWhenUsed/>
    <w:qFormat/>
    <w:rsid w:val="0026503B"/>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9">
    <w:name w:val="heading 9"/>
    <w:basedOn w:val="a"/>
    <w:next w:val="a"/>
    <w:link w:val="90"/>
    <w:uiPriority w:val="9"/>
    <w:semiHidden/>
    <w:unhideWhenUsed/>
    <w:qFormat/>
    <w:rsid w:val="0026503B"/>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03B"/>
    <w:rPr>
      <w:rFonts w:asciiTheme="majorHAnsi" w:eastAsiaTheme="majorEastAsia" w:hAnsiTheme="majorHAnsi" w:cstheme="majorBidi"/>
      <w:color w:val="2E74B5" w:themeColor="accent1" w:themeShade="BF"/>
      <w:sz w:val="30"/>
      <w:szCs w:val="30"/>
    </w:rPr>
  </w:style>
  <w:style w:type="paragraph" w:customStyle="1" w:styleId="Default">
    <w:name w:val="Default"/>
    <w:rsid w:val="00B97F78"/>
    <w:pPr>
      <w:widowControl w:val="0"/>
      <w:autoSpaceDE w:val="0"/>
      <w:autoSpaceDN w:val="0"/>
      <w:adjustRightInd w:val="0"/>
      <w:spacing w:after="0" w:line="240" w:lineRule="auto"/>
    </w:pPr>
    <w:rPr>
      <w:rFonts w:ascii="Times New Roman" w:hAnsi="Times New Roman" w:cs="Times New Roman"/>
      <w:color w:val="000000"/>
      <w:sz w:val="24"/>
      <w:szCs w:val="24"/>
      <w:lang w:eastAsia="ru-RU"/>
    </w:rPr>
  </w:style>
  <w:style w:type="character" w:customStyle="1" w:styleId="SUBST">
    <w:name w:val="__SUBST"/>
    <w:rsid w:val="00B97F78"/>
    <w:rPr>
      <w:b/>
      <w:i/>
      <w:sz w:val="22"/>
    </w:rPr>
  </w:style>
  <w:style w:type="paragraph" w:styleId="a3">
    <w:name w:val="footnote text"/>
    <w:basedOn w:val="a"/>
    <w:link w:val="a4"/>
    <w:uiPriority w:val="99"/>
    <w:semiHidden/>
    <w:unhideWhenUsed/>
    <w:rsid w:val="00B97F78"/>
    <w:pPr>
      <w:spacing w:after="200" w:line="276" w:lineRule="auto"/>
    </w:pPr>
    <w:rPr>
      <w:rFonts w:cs="Times New Roman"/>
      <w:sz w:val="20"/>
      <w:szCs w:val="20"/>
      <w:lang w:eastAsia="ru-RU"/>
    </w:rPr>
  </w:style>
  <w:style w:type="character" w:customStyle="1" w:styleId="a4">
    <w:name w:val="Текст сноски Знак"/>
    <w:basedOn w:val="a0"/>
    <w:link w:val="a3"/>
    <w:uiPriority w:val="99"/>
    <w:semiHidden/>
    <w:rsid w:val="00B97F78"/>
    <w:rPr>
      <w:rFonts w:eastAsiaTheme="minorEastAsia" w:cs="Times New Roman"/>
      <w:sz w:val="20"/>
      <w:szCs w:val="20"/>
      <w:lang w:eastAsia="ru-RU"/>
    </w:rPr>
  </w:style>
  <w:style w:type="character" w:styleId="a5">
    <w:name w:val="footnote reference"/>
    <w:basedOn w:val="a0"/>
    <w:uiPriority w:val="99"/>
    <w:semiHidden/>
    <w:unhideWhenUsed/>
    <w:rsid w:val="00B97F78"/>
    <w:rPr>
      <w:rFonts w:cs="Times New Roman"/>
      <w:vertAlign w:val="superscript"/>
    </w:rPr>
  </w:style>
  <w:style w:type="character" w:styleId="a6">
    <w:name w:val="Hyperlink"/>
    <w:basedOn w:val="a0"/>
    <w:uiPriority w:val="99"/>
    <w:unhideWhenUsed/>
    <w:rsid w:val="00B97F78"/>
    <w:rPr>
      <w:rFonts w:cs="Times New Roman"/>
      <w:color w:val="0563C1" w:themeColor="hyperlink"/>
      <w:u w:val="single"/>
    </w:rPr>
  </w:style>
  <w:style w:type="paragraph" w:customStyle="1" w:styleId="CM19">
    <w:name w:val="CM19"/>
    <w:basedOn w:val="Default"/>
    <w:next w:val="Default"/>
    <w:uiPriority w:val="99"/>
    <w:rsid w:val="00B97F78"/>
    <w:rPr>
      <w:color w:val="auto"/>
    </w:rPr>
  </w:style>
  <w:style w:type="paragraph" w:customStyle="1" w:styleId="CM5">
    <w:name w:val="CM5"/>
    <w:basedOn w:val="Default"/>
    <w:next w:val="Default"/>
    <w:uiPriority w:val="99"/>
    <w:rsid w:val="00B97F78"/>
    <w:pPr>
      <w:spacing w:line="233" w:lineRule="atLeast"/>
    </w:pPr>
    <w:rPr>
      <w:color w:val="auto"/>
    </w:rPr>
  </w:style>
  <w:style w:type="paragraph" w:customStyle="1" w:styleId="CM1">
    <w:name w:val="CM1"/>
    <w:basedOn w:val="Default"/>
    <w:next w:val="Default"/>
    <w:uiPriority w:val="99"/>
    <w:rsid w:val="00B97F78"/>
    <w:rPr>
      <w:color w:val="auto"/>
    </w:rPr>
  </w:style>
  <w:style w:type="paragraph" w:customStyle="1" w:styleId="CM7">
    <w:name w:val="CM7"/>
    <w:basedOn w:val="Default"/>
    <w:next w:val="Default"/>
    <w:uiPriority w:val="99"/>
    <w:rsid w:val="00B97F78"/>
    <w:pPr>
      <w:spacing w:line="233" w:lineRule="atLeast"/>
    </w:pPr>
    <w:rPr>
      <w:color w:val="auto"/>
    </w:rPr>
  </w:style>
  <w:style w:type="paragraph" w:styleId="a7">
    <w:name w:val="Balloon Text"/>
    <w:basedOn w:val="a"/>
    <w:link w:val="a8"/>
    <w:uiPriority w:val="99"/>
    <w:semiHidden/>
    <w:unhideWhenUsed/>
    <w:rsid w:val="00B97F78"/>
    <w:pPr>
      <w:spacing w:after="0" w:line="240" w:lineRule="auto"/>
    </w:pPr>
    <w:rPr>
      <w:rFonts w:ascii="Tahoma" w:hAnsi="Tahoma" w:cs="Tahoma"/>
      <w:sz w:val="16"/>
      <w:szCs w:val="16"/>
      <w:lang w:eastAsia="ru-RU"/>
    </w:rPr>
  </w:style>
  <w:style w:type="character" w:customStyle="1" w:styleId="a8">
    <w:name w:val="Текст выноски Знак"/>
    <w:basedOn w:val="a0"/>
    <w:link w:val="a7"/>
    <w:uiPriority w:val="99"/>
    <w:semiHidden/>
    <w:rsid w:val="00B97F78"/>
    <w:rPr>
      <w:rFonts w:ascii="Tahoma" w:eastAsiaTheme="minorEastAsia" w:hAnsi="Tahoma" w:cs="Tahoma"/>
      <w:sz w:val="16"/>
      <w:szCs w:val="16"/>
      <w:lang w:eastAsia="ru-RU"/>
    </w:rPr>
  </w:style>
  <w:style w:type="character" w:styleId="a9">
    <w:name w:val="line number"/>
    <w:basedOn w:val="a0"/>
    <w:uiPriority w:val="99"/>
    <w:semiHidden/>
    <w:unhideWhenUsed/>
    <w:rsid w:val="00B97F78"/>
    <w:rPr>
      <w:rFonts w:cs="Times New Roman"/>
    </w:rPr>
  </w:style>
  <w:style w:type="paragraph" w:styleId="aa">
    <w:name w:val="header"/>
    <w:basedOn w:val="a"/>
    <w:link w:val="ab"/>
    <w:uiPriority w:val="99"/>
    <w:unhideWhenUsed/>
    <w:rsid w:val="00B97F78"/>
    <w:pPr>
      <w:tabs>
        <w:tab w:val="center" w:pos="4677"/>
        <w:tab w:val="right" w:pos="9355"/>
      </w:tabs>
      <w:spacing w:after="200" w:line="276" w:lineRule="auto"/>
    </w:pPr>
    <w:rPr>
      <w:rFonts w:cs="Times New Roman"/>
      <w:lang w:eastAsia="ru-RU"/>
    </w:rPr>
  </w:style>
  <w:style w:type="character" w:customStyle="1" w:styleId="ab">
    <w:name w:val="Верхний колонтитул Знак"/>
    <w:basedOn w:val="a0"/>
    <w:link w:val="aa"/>
    <w:uiPriority w:val="99"/>
    <w:rsid w:val="00B97F78"/>
    <w:rPr>
      <w:rFonts w:eastAsiaTheme="minorEastAsia" w:cs="Times New Roman"/>
      <w:lang w:eastAsia="ru-RU"/>
    </w:rPr>
  </w:style>
  <w:style w:type="paragraph" w:styleId="ac">
    <w:name w:val="footer"/>
    <w:basedOn w:val="a"/>
    <w:link w:val="ad"/>
    <w:uiPriority w:val="99"/>
    <w:unhideWhenUsed/>
    <w:rsid w:val="00B97F78"/>
    <w:pPr>
      <w:tabs>
        <w:tab w:val="center" w:pos="4677"/>
        <w:tab w:val="right" w:pos="9355"/>
      </w:tabs>
      <w:spacing w:after="200" w:line="276" w:lineRule="auto"/>
    </w:pPr>
    <w:rPr>
      <w:rFonts w:cs="Times New Roman"/>
      <w:lang w:eastAsia="ru-RU"/>
    </w:rPr>
  </w:style>
  <w:style w:type="character" w:customStyle="1" w:styleId="ad">
    <w:name w:val="Нижний колонтитул Знак"/>
    <w:basedOn w:val="a0"/>
    <w:link w:val="ac"/>
    <w:uiPriority w:val="99"/>
    <w:rsid w:val="00B97F78"/>
    <w:rPr>
      <w:rFonts w:eastAsiaTheme="minorEastAsia" w:cs="Times New Roman"/>
      <w:lang w:eastAsia="ru-RU"/>
    </w:rPr>
  </w:style>
  <w:style w:type="character" w:styleId="ae">
    <w:name w:val="annotation reference"/>
    <w:uiPriority w:val="99"/>
    <w:rsid w:val="00B97F78"/>
    <w:rPr>
      <w:rFonts w:ascii="Times New Roman" w:hAnsi="Times New Roman" w:cs="Times New Roman"/>
      <w:sz w:val="16"/>
    </w:rPr>
  </w:style>
  <w:style w:type="paragraph" w:styleId="af">
    <w:name w:val="annotation text"/>
    <w:basedOn w:val="a"/>
    <w:link w:val="af0"/>
    <w:uiPriority w:val="99"/>
    <w:rsid w:val="00B97F78"/>
    <w:pPr>
      <w:widowControl w:val="0"/>
      <w:autoSpaceDE w:val="0"/>
      <w:autoSpaceDN w:val="0"/>
      <w:adjustRightInd w:val="0"/>
      <w:spacing w:before="20" w:after="4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rsid w:val="00B97F78"/>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B97F78"/>
    <w:pPr>
      <w:widowControl/>
      <w:autoSpaceDE/>
      <w:autoSpaceDN/>
      <w:adjustRightInd/>
      <w:spacing w:before="0" w:after="200"/>
    </w:pPr>
    <w:rPr>
      <w:rFonts w:asciiTheme="minorHAnsi" w:eastAsiaTheme="minorEastAsia" w:hAnsiTheme="minorHAnsi"/>
      <w:b/>
      <w:bCs/>
    </w:rPr>
  </w:style>
  <w:style w:type="character" w:customStyle="1" w:styleId="af2">
    <w:name w:val="Тема примечания Знак"/>
    <w:basedOn w:val="af0"/>
    <w:link w:val="af1"/>
    <w:uiPriority w:val="99"/>
    <w:semiHidden/>
    <w:rsid w:val="00B97F78"/>
    <w:rPr>
      <w:rFonts w:ascii="Times New Roman" w:eastAsiaTheme="minorEastAsia" w:hAnsi="Times New Roman" w:cs="Times New Roman"/>
      <w:b/>
      <w:bCs/>
      <w:sz w:val="20"/>
      <w:szCs w:val="20"/>
      <w:lang w:eastAsia="ru-RU"/>
    </w:rPr>
  </w:style>
  <w:style w:type="paragraph" w:styleId="af3">
    <w:name w:val="List Paragraph"/>
    <w:aliases w:val="Нумерованый список,List Paragraph1"/>
    <w:basedOn w:val="a"/>
    <w:link w:val="af4"/>
    <w:uiPriority w:val="34"/>
    <w:qFormat/>
    <w:rsid w:val="00B97F78"/>
    <w:pPr>
      <w:ind w:left="720"/>
      <w:contextualSpacing/>
    </w:pPr>
  </w:style>
  <w:style w:type="paragraph" w:customStyle="1" w:styleId="ConsPlusNormal">
    <w:name w:val="ConsPlusNormal"/>
    <w:rsid w:val="00B97F78"/>
    <w:pPr>
      <w:widowControl w:val="0"/>
      <w:spacing w:after="0" w:line="240" w:lineRule="auto"/>
      <w:ind w:firstLine="720"/>
    </w:pPr>
    <w:rPr>
      <w:rFonts w:ascii="Arial" w:eastAsia="Times New Roman" w:hAnsi="Arial" w:cs="Times New Roman"/>
      <w:snapToGrid w:val="0"/>
      <w:sz w:val="24"/>
      <w:szCs w:val="20"/>
      <w:lang w:eastAsia="ru-RU"/>
    </w:rPr>
  </w:style>
  <w:style w:type="table" w:styleId="af5">
    <w:name w:val="Table Grid"/>
    <w:basedOn w:val="a1"/>
    <w:uiPriority w:val="59"/>
    <w:rsid w:val="00B9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7">
    <w:name w:val="CM17"/>
    <w:basedOn w:val="Default"/>
    <w:next w:val="Default"/>
    <w:uiPriority w:val="99"/>
    <w:rsid w:val="00B97F78"/>
    <w:rPr>
      <w:color w:val="auto"/>
    </w:rPr>
  </w:style>
  <w:style w:type="paragraph" w:customStyle="1" w:styleId="CM4">
    <w:name w:val="CM4"/>
    <w:basedOn w:val="Default"/>
    <w:next w:val="Default"/>
    <w:uiPriority w:val="99"/>
    <w:rsid w:val="00B97F78"/>
    <w:pPr>
      <w:spacing w:line="233" w:lineRule="atLeast"/>
    </w:pPr>
    <w:rPr>
      <w:color w:val="auto"/>
    </w:rPr>
  </w:style>
  <w:style w:type="paragraph" w:customStyle="1" w:styleId="StyleJustifiedFirstline095cm1">
    <w:name w:val="Style Justified First line:  0.95 cm1"/>
    <w:basedOn w:val="a"/>
    <w:rsid w:val="00B97F78"/>
    <w:pPr>
      <w:autoSpaceDE w:val="0"/>
      <w:autoSpaceDN w:val="0"/>
      <w:spacing w:after="0" w:line="240" w:lineRule="auto"/>
      <w:ind w:firstLine="539"/>
      <w:jc w:val="both"/>
    </w:pPr>
    <w:rPr>
      <w:rFonts w:ascii="Times New Roman" w:eastAsia="Times New Roman" w:hAnsi="Times New Roman" w:cs="Times New Roman"/>
      <w:szCs w:val="20"/>
      <w:lang w:eastAsia="ru-RU"/>
    </w:rPr>
  </w:style>
  <w:style w:type="paragraph" w:styleId="21">
    <w:name w:val="Body Text 2"/>
    <w:aliases w:val="Основной текст 1,Нумерованный список !!,Надин стиль"/>
    <w:basedOn w:val="a"/>
    <w:link w:val="22"/>
    <w:uiPriority w:val="99"/>
    <w:rsid w:val="00B97F78"/>
    <w:pPr>
      <w:autoSpaceDE w:val="0"/>
      <w:autoSpaceDN w:val="0"/>
      <w:spacing w:after="0" w:line="240" w:lineRule="auto"/>
      <w:jc w:val="both"/>
    </w:pPr>
    <w:rPr>
      <w:rFonts w:ascii="Times New Roman" w:eastAsia="Times New Roman" w:hAnsi="Times New Roman" w:cs="Times New Roman"/>
      <w:sz w:val="20"/>
      <w:szCs w:val="20"/>
      <w:lang w:val="x-none" w:eastAsia="x-none"/>
    </w:rPr>
  </w:style>
  <w:style w:type="character" w:customStyle="1" w:styleId="22">
    <w:name w:val="Основной текст 2 Знак"/>
    <w:aliases w:val="Основной текст 1 Знак,Нумерованный список !! Знак,Надин стиль Знак"/>
    <w:basedOn w:val="a0"/>
    <w:link w:val="21"/>
    <w:uiPriority w:val="99"/>
    <w:rsid w:val="00B97F78"/>
    <w:rPr>
      <w:rFonts w:ascii="Times New Roman" w:eastAsia="Times New Roman" w:hAnsi="Times New Roman" w:cs="Times New Roman"/>
      <w:sz w:val="20"/>
      <w:szCs w:val="20"/>
      <w:lang w:val="x-none" w:eastAsia="x-none"/>
    </w:rPr>
  </w:style>
  <w:style w:type="paragraph" w:styleId="af6">
    <w:name w:val="Revision"/>
    <w:hidden/>
    <w:uiPriority w:val="99"/>
    <w:semiHidden/>
    <w:rsid w:val="00B97F78"/>
    <w:pPr>
      <w:spacing w:after="0" w:line="240" w:lineRule="auto"/>
    </w:pPr>
    <w:rPr>
      <w:rFonts w:cs="Times New Roman"/>
      <w:lang w:eastAsia="ru-RU"/>
    </w:rPr>
  </w:style>
  <w:style w:type="paragraph" w:customStyle="1" w:styleId="Bulletlvl1">
    <w:name w:val="Bullet lvl 1"/>
    <w:basedOn w:val="af7"/>
    <w:link w:val="Bulletlvl1Char"/>
    <w:rsid w:val="00D61C94"/>
    <w:pPr>
      <w:spacing w:before="60" w:line="240" w:lineRule="atLeast"/>
      <w:ind w:right="-113"/>
      <w:jc w:val="both"/>
    </w:pPr>
    <w:rPr>
      <w:rFonts w:ascii="Times New Roman" w:eastAsia="Times New Roman" w:hAnsi="Times New Roman" w:cs="Times New Roman"/>
      <w:szCs w:val="20"/>
      <w:lang w:val="en-US"/>
    </w:rPr>
  </w:style>
  <w:style w:type="character" w:customStyle="1" w:styleId="Bulletlvl1Char">
    <w:name w:val="Bullet lvl 1 Char"/>
    <w:link w:val="Bulletlvl1"/>
    <w:rsid w:val="00D61C94"/>
    <w:rPr>
      <w:rFonts w:ascii="Times New Roman" w:eastAsia="Times New Roman" w:hAnsi="Times New Roman" w:cs="Times New Roman"/>
      <w:szCs w:val="20"/>
      <w:lang w:val="en-US"/>
    </w:rPr>
  </w:style>
  <w:style w:type="paragraph" w:styleId="af7">
    <w:name w:val="Body Text"/>
    <w:basedOn w:val="a"/>
    <w:link w:val="af8"/>
    <w:uiPriority w:val="99"/>
    <w:semiHidden/>
    <w:unhideWhenUsed/>
    <w:rsid w:val="00D61C94"/>
    <w:pPr>
      <w:spacing w:after="120"/>
    </w:pPr>
  </w:style>
  <w:style w:type="character" w:customStyle="1" w:styleId="af8">
    <w:name w:val="Основной текст Знак"/>
    <w:basedOn w:val="a0"/>
    <w:link w:val="af7"/>
    <w:uiPriority w:val="99"/>
    <w:semiHidden/>
    <w:rsid w:val="00D61C94"/>
  </w:style>
  <w:style w:type="character" w:styleId="af9">
    <w:name w:val="Placeholder Text"/>
    <w:basedOn w:val="a0"/>
    <w:uiPriority w:val="99"/>
    <w:semiHidden/>
    <w:rsid w:val="00C13697"/>
    <w:rPr>
      <w:color w:val="808080"/>
    </w:rPr>
  </w:style>
  <w:style w:type="character" w:customStyle="1" w:styleId="af4">
    <w:name w:val="Абзац списка Знак"/>
    <w:aliases w:val="Нумерованый список Знак,List Paragraph1 Знак"/>
    <w:link w:val="af3"/>
    <w:uiPriority w:val="34"/>
    <w:locked/>
    <w:rsid w:val="00301387"/>
  </w:style>
  <w:style w:type="character" w:styleId="afa">
    <w:name w:val="FollowedHyperlink"/>
    <w:basedOn w:val="a0"/>
    <w:uiPriority w:val="99"/>
    <w:semiHidden/>
    <w:unhideWhenUsed/>
    <w:rsid w:val="000E3BDF"/>
    <w:rPr>
      <w:color w:val="954F72" w:themeColor="followedHyperlink"/>
      <w:u w:val="single"/>
    </w:rPr>
  </w:style>
  <w:style w:type="character" w:customStyle="1" w:styleId="20">
    <w:name w:val="Заголовок 2 Знак"/>
    <w:basedOn w:val="a0"/>
    <w:link w:val="2"/>
    <w:uiPriority w:val="9"/>
    <w:semiHidden/>
    <w:rsid w:val="0026503B"/>
    <w:rPr>
      <w:rFonts w:asciiTheme="majorHAnsi" w:eastAsiaTheme="majorEastAsia" w:hAnsiTheme="majorHAnsi" w:cstheme="majorBidi"/>
      <w:color w:val="C45911" w:themeColor="accent2" w:themeShade="BF"/>
      <w:sz w:val="28"/>
      <w:szCs w:val="28"/>
    </w:rPr>
  </w:style>
  <w:style w:type="character" w:customStyle="1" w:styleId="30">
    <w:name w:val="Заголовок 3 Знак"/>
    <w:basedOn w:val="a0"/>
    <w:link w:val="3"/>
    <w:uiPriority w:val="9"/>
    <w:semiHidden/>
    <w:rsid w:val="0026503B"/>
    <w:rPr>
      <w:rFonts w:asciiTheme="majorHAnsi" w:eastAsiaTheme="majorEastAsia" w:hAnsiTheme="majorHAnsi" w:cstheme="majorBidi"/>
      <w:color w:val="538135" w:themeColor="accent6" w:themeShade="BF"/>
      <w:sz w:val="26"/>
      <w:szCs w:val="26"/>
    </w:rPr>
  </w:style>
  <w:style w:type="character" w:customStyle="1" w:styleId="40">
    <w:name w:val="Заголовок 4 Знак"/>
    <w:basedOn w:val="a0"/>
    <w:link w:val="4"/>
    <w:uiPriority w:val="9"/>
    <w:semiHidden/>
    <w:rsid w:val="0026503B"/>
    <w:rPr>
      <w:rFonts w:asciiTheme="majorHAnsi" w:eastAsiaTheme="majorEastAsia" w:hAnsiTheme="majorHAnsi" w:cstheme="majorBidi"/>
      <w:i/>
      <w:iCs/>
      <w:color w:val="2F5496" w:themeColor="accent5" w:themeShade="BF"/>
      <w:sz w:val="25"/>
      <w:szCs w:val="25"/>
    </w:rPr>
  </w:style>
  <w:style w:type="character" w:customStyle="1" w:styleId="50">
    <w:name w:val="Заголовок 5 Знак"/>
    <w:basedOn w:val="a0"/>
    <w:link w:val="5"/>
    <w:uiPriority w:val="9"/>
    <w:semiHidden/>
    <w:rsid w:val="0026503B"/>
    <w:rPr>
      <w:rFonts w:asciiTheme="majorHAnsi" w:eastAsiaTheme="majorEastAsia" w:hAnsiTheme="majorHAnsi" w:cstheme="majorBidi"/>
      <w:i/>
      <w:iCs/>
      <w:color w:val="833C0B" w:themeColor="accent2" w:themeShade="80"/>
      <w:sz w:val="24"/>
      <w:szCs w:val="24"/>
    </w:rPr>
  </w:style>
  <w:style w:type="character" w:customStyle="1" w:styleId="60">
    <w:name w:val="Заголовок 6 Знак"/>
    <w:basedOn w:val="a0"/>
    <w:link w:val="6"/>
    <w:uiPriority w:val="9"/>
    <w:semiHidden/>
    <w:rsid w:val="0026503B"/>
    <w:rPr>
      <w:rFonts w:asciiTheme="majorHAnsi" w:eastAsiaTheme="majorEastAsia" w:hAnsiTheme="majorHAnsi" w:cstheme="majorBidi"/>
      <w:i/>
      <w:iCs/>
      <w:color w:val="385623" w:themeColor="accent6" w:themeShade="80"/>
      <w:sz w:val="23"/>
      <w:szCs w:val="23"/>
    </w:rPr>
  </w:style>
  <w:style w:type="character" w:customStyle="1" w:styleId="70">
    <w:name w:val="Заголовок 7 Знак"/>
    <w:basedOn w:val="a0"/>
    <w:link w:val="7"/>
    <w:uiPriority w:val="9"/>
    <w:semiHidden/>
    <w:rsid w:val="0026503B"/>
    <w:rPr>
      <w:rFonts w:asciiTheme="majorHAnsi" w:eastAsiaTheme="majorEastAsia" w:hAnsiTheme="majorHAnsi" w:cstheme="majorBidi"/>
      <w:color w:val="1F4E79" w:themeColor="accent1" w:themeShade="80"/>
    </w:rPr>
  </w:style>
  <w:style w:type="character" w:customStyle="1" w:styleId="80">
    <w:name w:val="Заголовок 8 Знак"/>
    <w:basedOn w:val="a0"/>
    <w:link w:val="8"/>
    <w:uiPriority w:val="9"/>
    <w:semiHidden/>
    <w:rsid w:val="0026503B"/>
    <w:rPr>
      <w:rFonts w:asciiTheme="majorHAnsi" w:eastAsiaTheme="majorEastAsia" w:hAnsiTheme="majorHAnsi" w:cstheme="majorBidi"/>
      <w:color w:val="833C0B" w:themeColor="accent2" w:themeShade="80"/>
      <w:sz w:val="21"/>
      <w:szCs w:val="21"/>
    </w:rPr>
  </w:style>
  <w:style w:type="character" w:customStyle="1" w:styleId="90">
    <w:name w:val="Заголовок 9 Знак"/>
    <w:basedOn w:val="a0"/>
    <w:link w:val="9"/>
    <w:uiPriority w:val="9"/>
    <w:semiHidden/>
    <w:rsid w:val="0026503B"/>
    <w:rPr>
      <w:rFonts w:asciiTheme="majorHAnsi" w:eastAsiaTheme="majorEastAsia" w:hAnsiTheme="majorHAnsi" w:cstheme="majorBidi"/>
      <w:color w:val="385623" w:themeColor="accent6" w:themeShade="80"/>
    </w:rPr>
  </w:style>
  <w:style w:type="paragraph" w:styleId="afb">
    <w:name w:val="caption"/>
    <w:basedOn w:val="a"/>
    <w:next w:val="a"/>
    <w:uiPriority w:val="35"/>
    <w:semiHidden/>
    <w:unhideWhenUsed/>
    <w:qFormat/>
    <w:rsid w:val="0026503B"/>
    <w:pPr>
      <w:spacing w:line="240" w:lineRule="auto"/>
    </w:pPr>
    <w:rPr>
      <w:b/>
      <w:bCs/>
      <w:smallCaps/>
      <w:color w:val="5B9BD5" w:themeColor="accent1"/>
      <w:spacing w:val="6"/>
    </w:rPr>
  </w:style>
  <w:style w:type="paragraph" w:styleId="afc">
    <w:name w:val="Title"/>
    <w:basedOn w:val="a"/>
    <w:next w:val="a"/>
    <w:link w:val="afd"/>
    <w:uiPriority w:val="10"/>
    <w:qFormat/>
    <w:rsid w:val="0026503B"/>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afd">
    <w:name w:val="Заголовок Знак"/>
    <w:basedOn w:val="a0"/>
    <w:link w:val="afc"/>
    <w:uiPriority w:val="10"/>
    <w:rsid w:val="0026503B"/>
    <w:rPr>
      <w:rFonts w:asciiTheme="majorHAnsi" w:eastAsiaTheme="majorEastAsia" w:hAnsiTheme="majorHAnsi" w:cstheme="majorBidi"/>
      <w:color w:val="2E74B5" w:themeColor="accent1" w:themeShade="BF"/>
      <w:spacing w:val="-10"/>
      <w:sz w:val="52"/>
      <w:szCs w:val="52"/>
    </w:rPr>
  </w:style>
  <w:style w:type="paragraph" w:styleId="afe">
    <w:name w:val="Subtitle"/>
    <w:basedOn w:val="a"/>
    <w:next w:val="a"/>
    <w:link w:val="aff"/>
    <w:uiPriority w:val="11"/>
    <w:qFormat/>
    <w:rsid w:val="0026503B"/>
    <w:pPr>
      <w:numPr>
        <w:ilvl w:val="1"/>
      </w:numPr>
      <w:spacing w:line="240" w:lineRule="auto"/>
    </w:pPr>
    <w:rPr>
      <w:rFonts w:asciiTheme="majorHAnsi" w:eastAsiaTheme="majorEastAsia" w:hAnsiTheme="majorHAnsi" w:cstheme="majorBidi"/>
    </w:rPr>
  </w:style>
  <w:style w:type="character" w:customStyle="1" w:styleId="aff">
    <w:name w:val="Подзаголовок Знак"/>
    <w:basedOn w:val="a0"/>
    <w:link w:val="afe"/>
    <w:uiPriority w:val="11"/>
    <w:rsid w:val="0026503B"/>
    <w:rPr>
      <w:rFonts w:asciiTheme="majorHAnsi" w:eastAsiaTheme="majorEastAsia" w:hAnsiTheme="majorHAnsi" w:cstheme="majorBidi"/>
    </w:rPr>
  </w:style>
  <w:style w:type="character" w:styleId="aff0">
    <w:name w:val="Strong"/>
    <w:basedOn w:val="a0"/>
    <w:uiPriority w:val="22"/>
    <w:qFormat/>
    <w:rsid w:val="0026503B"/>
    <w:rPr>
      <w:b/>
      <w:bCs/>
    </w:rPr>
  </w:style>
  <w:style w:type="character" w:styleId="aff1">
    <w:name w:val="Emphasis"/>
    <w:basedOn w:val="a0"/>
    <w:uiPriority w:val="20"/>
    <w:qFormat/>
    <w:rsid w:val="0026503B"/>
    <w:rPr>
      <w:i/>
      <w:iCs/>
    </w:rPr>
  </w:style>
  <w:style w:type="paragraph" w:styleId="aff2">
    <w:name w:val="No Spacing"/>
    <w:uiPriority w:val="1"/>
    <w:qFormat/>
    <w:rsid w:val="0026503B"/>
    <w:pPr>
      <w:spacing w:after="0" w:line="240" w:lineRule="auto"/>
    </w:pPr>
  </w:style>
  <w:style w:type="paragraph" w:styleId="23">
    <w:name w:val="Quote"/>
    <w:basedOn w:val="a"/>
    <w:next w:val="a"/>
    <w:link w:val="24"/>
    <w:uiPriority w:val="29"/>
    <w:qFormat/>
    <w:rsid w:val="0026503B"/>
    <w:pPr>
      <w:spacing w:before="120"/>
      <w:ind w:left="720" w:right="720"/>
      <w:jc w:val="center"/>
    </w:pPr>
    <w:rPr>
      <w:i/>
      <w:iCs/>
    </w:rPr>
  </w:style>
  <w:style w:type="character" w:customStyle="1" w:styleId="24">
    <w:name w:val="Цитата 2 Знак"/>
    <w:basedOn w:val="a0"/>
    <w:link w:val="23"/>
    <w:uiPriority w:val="29"/>
    <w:rsid w:val="0026503B"/>
    <w:rPr>
      <w:i/>
      <w:iCs/>
    </w:rPr>
  </w:style>
  <w:style w:type="paragraph" w:styleId="aff3">
    <w:name w:val="Intense Quote"/>
    <w:basedOn w:val="a"/>
    <w:next w:val="a"/>
    <w:link w:val="aff4"/>
    <w:uiPriority w:val="30"/>
    <w:qFormat/>
    <w:rsid w:val="0026503B"/>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aff4">
    <w:name w:val="Выделенная цитата Знак"/>
    <w:basedOn w:val="a0"/>
    <w:link w:val="aff3"/>
    <w:uiPriority w:val="30"/>
    <w:rsid w:val="0026503B"/>
    <w:rPr>
      <w:rFonts w:asciiTheme="majorHAnsi" w:eastAsiaTheme="majorEastAsia" w:hAnsiTheme="majorHAnsi" w:cstheme="majorBidi"/>
      <w:color w:val="5B9BD5" w:themeColor="accent1"/>
      <w:sz w:val="24"/>
      <w:szCs w:val="24"/>
    </w:rPr>
  </w:style>
  <w:style w:type="character" w:styleId="aff5">
    <w:name w:val="Subtle Emphasis"/>
    <w:basedOn w:val="a0"/>
    <w:uiPriority w:val="19"/>
    <w:qFormat/>
    <w:rsid w:val="0026503B"/>
    <w:rPr>
      <w:i/>
      <w:iCs/>
      <w:color w:val="404040" w:themeColor="text1" w:themeTint="BF"/>
    </w:rPr>
  </w:style>
  <w:style w:type="character" w:styleId="aff6">
    <w:name w:val="Intense Emphasis"/>
    <w:basedOn w:val="a0"/>
    <w:uiPriority w:val="21"/>
    <w:qFormat/>
    <w:rsid w:val="0026503B"/>
    <w:rPr>
      <w:b w:val="0"/>
      <w:bCs w:val="0"/>
      <w:i/>
      <w:iCs/>
      <w:color w:val="5B9BD5" w:themeColor="accent1"/>
    </w:rPr>
  </w:style>
  <w:style w:type="character" w:styleId="aff7">
    <w:name w:val="Subtle Reference"/>
    <w:basedOn w:val="a0"/>
    <w:uiPriority w:val="31"/>
    <w:qFormat/>
    <w:rsid w:val="0026503B"/>
    <w:rPr>
      <w:smallCaps/>
      <w:color w:val="404040" w:themeColor="text1" w:themeTint="BF"/>
      <w:u w:val="single" w:color="7F7F7F" w:themeColor="text1" w:themeTint="80"/>
    </w:rPr>
  </w:style>
  <w:style w:type="character" w:styleId="aff8">
    <w:name w:val="Intense Reference"/>
    <w:basedOn w:val="a0"/>
    <w:uiPriority w:val="32"/>
    <w:qFormat/>
    <w:rsid w:val="0026503B"/>
    <w:rPr>
      <w:b/>
      <w:bCs/>
      <w:smallCaps/>
      <w:color w:val="5B9BD5" w:themeColor="accent1"/>
      <w:spacing w:val="5"/>
      <w:u w:val="single"/>
    </w:rPr>
  </w:style>
  <w:style w:type="character" w:styleId="aff9">
    <w:name w:val="Book Title"/>
    <w:basedOn w:val="a0"/>
    <w:uiPriority w:val="33"/>
    <w:qFormat/>
    <w:rsid w:val="0026503B"/>
    <w:rPr>
      <w:b/>
      <w:bCs/>
      <w:smallCaps/>
    </w:rPr>
  </w:style>
  <w:style w:type="paragraph" w:styleId="affa">
    <w:name w:val="TOC Heading"/>
    <w:basedOn w:val="1"/>
    <w:next w:val="a"/>
    <w:uiPriority w:val="39"/>
    <w:semiHidden/>
    <w:unhideWhenUsed/>
    <w:qFormat/>
    <w:rsid w:val="0026503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32459">
      <w:bodyDiv w:val="1"/>
      <w:marLeft w:val="0"/>
      <w:marRight w:val="0"/>
      <w:marTop w:val="0"/>
      <w:marBottom w:val="0"/>
      <w:divBdr>
        <w:top w:val="none" w:sz="0" w:space="0" w:color="auto"/>
        <w:left w:val="none" w:sz="0" w:space="0" w:color="auto"/>
        <w:bottom w:val="none" w:sz="0" w:space="0" w:color="auto"/>
        <w:right w:val="none" w:sz="0" w:space="0" w:color="auto"/>
      </w:divBdr>
    </w:div>
    <w:div w:id="390927281">
      <w:bodyDiv w:val="1"/>
      <w:marLeft w:val="0"/>
      <w:marRight w:val="0"/>
      <w:marTop w:val="0"/>
      <w:marBottom w:val="0"/>
      <w:divBdr>
        <w:top w:val="none" w:sz="0" w:space="0" w:color="auto"/>
        <w:left w:val="none" w:sz="0" w:space="0" w:color="auto"/>
        <w:bottom w:val="none" w:sz="0" w:space="0" w:color="auto"/>
        <w:right w:val="none" w:sz="0" w:space="0" w:color="auto"/>
      </w:divBdr>
    </w:div>
    <w:div w:id="643004426">
      <w:bodyDiv w:val="1"/>
      <w:marLeft w:val="0"/>
      <w:marRight w:val="0"/>
      <w:marTop w:val="0"/>
      <w:marBottom w:val="0"/>
      <w:divBdr>
        <w:top w:val="none" w:sz="0" w:space="0" w:color="auto"/>
        <w:left w:val="none" w:sz="0" w:space="0" w:color="auto"/>
        <w:bottom w:val="none" w:sz="0" w:space="0" w:color="auto"/>
        <w:right w:val="none" w:sz="0" w:space="0" w:color="auto"/>
      </w:divBdr>
    </w:div>
    <w:div w:id="690959125">
      <w:bodyDiv w:val="1"/>
      <w:marLeft w:val="0"/>
      <w:marRight w:val="0"/>
      <w:marTop w:val="0"/>
      <w:marBottom w:val="0"/>
      <w:divBdr>
        <w:top w:val="none" w:sz="0" w:space="0" w:color="auto"/>
        <w:left w:val="none" w:sz="0" w:space="0" w:color="auto"/>
        <w:bottom w:val="none" w:sz="0" w:space="0" w:color="auto"/>
        <w:right w:val="none" w:sz="0" w:space="0" w:color="auto"/>
      </w:divBdr>
    </w:div>
    <w:div w:id="1130711186">
      <w:bodyDiv w:val="1"/>
      <w:marLeft w:val="0"/>
      <w:marRight w:val="0"/>
      <w:marTop w:val="0"/>
      <w:marBottom w:val="0"/>
      <w:divBdr>
        <w:top w:val="none" w:sz="0" w:space="0" w:color="auto"/>
        <w:left w:val="none" w:sz="0" w:space="0" w:color="auto"/>
        <w:bottom w:val="none" w:sz="0" w:space="0" w:color="auto"/>
        <w:right w:val="none" w:sz="0" w:space="0" w:color="auto"/>
      </w:divBdr>
    </w:div>
    <w:div w:id="1143932972">
      <w:bodyDiv w:val="1"/>
      <w:marLeft w:val="0"/>
      <w:marRight w:val="0"/>
      <w:marTop w:val="0"/>
      <w:marBottom w:val="0"/>
      <w:divBdr>
        <w:top w:val="none" w:sz="0" w:space="0" w:color="auto"/>
        <w:left w:val="none" w:sz="0" w:space="0" w:color="auto"/>
        <w:bottom w:val="none" w:sz="0" w:space="0" w:color="auto"/>
        <w:right w:val="none" w:sz="0" w:space="0" w:color="auto"/>
      </w:divBdr>
    </w:div>
    <w:div w:id="1286349756">
      <w:bodyDiv w:val="1"/>
      <w:marLeft w:val="0"/>
      <w:marRight w:val="0"/>
      <w:marTop w:val="0"/>
      <w:marBottom w:val="0"/>
      <w:divBdr>
        <w:top w:val="none" w:sz="0" w:space="0" w:color="auto"/>
        <w:left w:val="none" w:sz="0" w:space="0" w:color="auto"/>
        <w:bottom w:val="none" w:sz="0" w:space="0" w:color="auto"/>
        <w:right w:val="none" w:sz="0" w:space="0" w:color="auto"/>
      </w:divBdr>
    </w:div>
    <w:div w:id="1320233174">
      <w:bodyDiv w:val="1"/>
      <w:marLeft w:val="0"/>
      <w:marRight w:val="0"/>
      <w:marTop w:val="0"/>
      <w:marBottom w:val="0"/>
      <w:divBdr>
        <w:top w:val="none" w:sz="0" w:space="0" w:color="auto"/>
        <w:left w:val="none" w:sz="0" w:space="0" w:color="auto"/>
        <w:bottom w:val="none" w:sz="0" w:space="0" w:color="auto"/>
        <w:right w:val="none" w:sz="0" w:space="0" w:color="auto"/>
      </w:divBdr>
    </w:div>
    <w:div w:id="1510362958">
      <w:bodyDiv w:val="1"/>
      <w:marLeft w:val="0"/>
      <w:marRight w:val="0"/>
      <w:marTop w:val="0"/>
      <w:marBottom w:val="0"/>
      <w:divBdr>
        <w:top w:val="none" w:sz="0" w:space="0" w:color="auto"/>
        <w:left w:val="none" w:sz="0" w:space="0" w:color="auto"/>
        <w:bottom w:val="none" w:sz="0" w:space="0" w:color="auto"/>
        <w:right w:val="none" w:sz="0" w:space="0" w:color="auto"/>
      </w:divBdr>
    </w:div>
    <w:div w:id="1548224065">
      <w:bodyDiv w:val="1"/>
      <w:marLeft w:val="0"/>
      <w:marRight w:val="0"/>
      <w:marTop w:val="0"/>
      <w:marBottom w:val="0"/>
      <w:divBdr>
        <w:top w:val="none" w:sz="0" w:space="0" w:color="auto"/>
        <w:left w:val="none" w:sz="0" w:space="0" w:color="auto"/>
        <w:bottom w:val="none" w:sz="0" w:space="0" w:color="auto"/>
        <w:right w:val="none" w:sz="0" w:space="0" w:color="auto"/>
      </w:divBdr>
    </w:div>
    <w:div w:id="19812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D3F27-C8DC-4893-BF6E-687D697E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3473</Words>
  <Characters>19801</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Пирогов Петр Сергеевич</dc:creator>
  <cp:lastModifiedBy>Родичева Дарья Алексеевна (drodicheva)</cp:lastModifiedBy>
  <cp:revision>2</cp:revision>
  <cp:lastPrinted>2021-10-18T12:30:00Z</cp:lastPrinted>
  <dcterms:created xsi:type="dcterms:W3CDTF">2021-12-01T13:03:00Z</dcterms:created>
  <dcterms:modified xsi:type="dcterms:W3CDTF">2021-12-01T13:03:00Z</dcterms:modified>
</cp:coreProperties>
</file>